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56"/>
          <w:szCs w:val="56"/>
        </w:rPr>
      </w:pPr>
      <w:r>
        <w:rPr>
          <w:rFonts w:cs="Times New Roman" w:ascii="Times New Roman" w:hAnsi="Times New Roman"/>
          <w:b/>
          <w:sz w:val="56"/>
          <w:szCs w:val="56"/>
        </w:rPr>
        <w:t>ДОКЛАД</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ФАС России</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с руководством по соблюдению обязательных требований, дающим разъяснение, какое поведение является правомерным</w:t>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Одним из важнейших этапов развития антимонопольного законодательства в Российской Федерации стало вступление в законную силу </w:t>
      </w:r>
      <w:r>
        <w:rPr>
          <w:rFonts w:cs="Times New Roman" w:ascii="Times New Roman" w:hAnsi="Times New Roman"/>
          <w:bCs/>
          <w:sz w:val="28"/>
          <w:szCs w:val="28"/>
        </w:rPr>
        <w:t>Федерального</w:t>
      </w:r>
      <w:r>
        <w:rPr>
          <w:rFonts w:cs="Times New Roman" w:ascii="Times New Roman" w:hAnsi="Times New Roman"/>
          <w:sz w:val="28"/>
          <w:szCs w:val="28"/>
        </w:rPr>
        <w:t xml:space="preserve"> </w:t>
      </w:r>
      <w:r>
        <w:rPr>
          <w:rFonts w:cs="Times New Roman" w:ascii="Times New Roman" w:hAnsi="Times New Roman"/>
          <w:bCs/>
          <w:sz w:val="28"/>
          <w:szCs w:val="28"/>
        </w:rPr>
        <w:t>закона от 05.10.2015 № 275-ФЗ «О внесении изменений в Федеральный закон</w:t>
      </w:r>
      <w:r>
        <w:rPr>
          <w:rFonts w:cs="Times New Roman" w:ascii="Times New Roman" w:hAnsi="Times New Roman"/>
          <w:sz w:val="28"/>
          <w:szCs w:val="28"/>
        </w:rPr>
        <w:t xml:space="preserve"> </w:t>
      </w:r>
      <w:r>
        <w:rPr>
          <w:rFonts w:cs="Times New Roman" w:ascii="Times New Roman" w:hAnsi="Times New Roman"/>
          <w:bCs/>
          <w:sz w:val="28"/>
          <w:szCs w:val="28"/>
        </w:rPr>
        <w:t>«О защите конкуренции» и отдельные законодательные акты Российской</w:t>
      </w:r>
      <w:r>
        <w:rPr>
          <w:rFonts w:cs="Times New Roman" w:ascii="Times New Roman" w:hAnsi="Times New Roman"/>
          <w:sz w:val="28"/>
          <w:szCs w:val="28"/>
        </w:rPr>
        <w:t xml:space="preserve"> </w:t>
      </w:r>
      <w:r>
        <w:rPr>
          <w:rFonts w:cs="Times New Roman" w:ascii="Times New Roman" w:hAnsi="Times New Roman"/>
          <w:bCs/>
          <w:sz w:val="28"/>
          <w:szCs w:val="28"/>
        </w:rPr>
        <w:t>Федерации» (далее - «Четвертый антимонопольный пакет», Закон № 275-ФЗ)</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pPr>
        <w:pStyle w:val="Normal"/>
        <w:spacing w:lineRule="exact" w:line="283"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Со вступлением в силу Закона № 275-ФЗ из определения «вертикального» соглашения, содержащегося в пункте 19 статьи 4 Закона о защите конкуренции, исключается уточнение о том, что агентский договор не является «вертикальным</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соглашением.</w:t>
      </w:r>
    </w:p>
    <w:p>
      <w:pPr>
        <w:pStyle w:val="Normal"/>
        <w:spacing w:lineRule="exact" w:line="283"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Вопрос о возможности отнесения гражданско-правового договора к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вертикальному</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соглашению должен решаться исходя из его содержания. Так, если в рамках заключенного гражданско-правового договора не осуществляется предоставление (продажи) и приобретение товара, упомянутый договор нельзя признать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вертикальным</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соглашением.</w:t>
      </w:r>
    </w:p>
    <w:p>
      <w:pPr>
        <w:pStyle w:val="Normal"/>
        <w:spacing w:lineRule="exact" w:line="283"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Согласно статье 1005 ГК РФ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pPr>
        <w:pStyle w:val="Normal"/>
        <w:spacing w:lineRule="exact" w:line="283"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Агентский договор по своей природе является разновидностью посреднического договора. Если агент заключает от имени принципала договор поставки товара, то именно договор поставки товара, а не агентский договор, будет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вертикальным</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соглашением.</w:t>
      </w:r>
    </w:p>
    <w:p>
      <w:pPr>
        <w:pStyle w:val="Normal"/>
        <w:spacing w:lineRule="exact" w:line="283"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Одновременно Закон № 275-ФЗ уточняет установленные частью 2 статьи 12 Закона о защите конкуренции критерии допустимости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предусматривая, что такие соглашения допустимы, если доля каждого из участников соглашения (за исключением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между финансовыми организациями) на товарном рынке товара, являющегося предметом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вертикального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соглашения, не превышает двадцать процентов.</w:t>
      </w:r>
    </w:p>
    <w:p>
      <w:pPr>
        <w:pStyle w:val="Normal"/>
        <w:spacing w:lineRule="exact" w:line="283"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Ранее устанавливалась допустимость «вертикальных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между хозяйствующими субъектами (за исключением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между финансовыми организациями), доля каждого из которых на любом товарном рынке не превышает двадцать процентов.</w:t>
      </w:r>
    </w:p>
    <w:p>
      <w:pPr>
        <w:pStyle w:val="Normal"/>
        <w:spacing w:lineRule="exact" w:line="283"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Законом № 275-ФЗ уточняются признаки, при наличии которых, лица образуют группу лиц, а именно: слова </w:t>
      </w:r>
      <w:r>
        <w:rPr>
          <w:rFonts w:eastAsia="TimesNewRomanPSMT" w:cs="Cambria Math" w:ascii="Cambria Math" w:hAnsi="Cambria Math"/>
          <w:sz w:val="28"/>
          <w:szCs w:val="28"/>
        </w:rPr>
        <w:t>«</w:t>
      </w:r>
      <w:r>
        <w:rPr>
          <w:rFonts w:eastAsia="TimesNewRomanPSMT" w:cs="Times New Roman" w:ascii="Times New Roman" w:hAnsi="Times New Roman"/>
          <w:sz w:val="28"/>
          <w:szCs w:val="28"/>
        </w:rPr>
        <w:t>хозяйственное общество, (товарищество, хозяйственное партнерство)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заменены на слова </w:t>
      </w:r>
      <w:r>
        <w:rPr>
          <w:rFonts w:eastAsia="TimesNewRomanPSMT" w:cs="Cambria Math" w:ascii="Cambria Math" w:hAnsi="Cambria Math"/>
          <w:sz w:val="28"/>
          <w:szCs w:val="28"/>
        </w:rPr>
        <w:t>«</w:t>
      </w:r>
      <w:r>
        <w:rPr>
          <w:rFonts w:eastAsia="TimesNewRomanPSMT" w:cs="Times New Roman" w:ascii="Times New Roman" w:hAnsi="Times New Roman"/>
          <w:sz w:val="28"/>
          <w:szCs w:val="28"/>
        </w:rPr>
        <w:t>юридическое лицо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(пункты 2 и 4 части 1 статьи 9 Закона о защите конкуренции).</w:t>
      </w:r>
    </w:p>
    <w:p>
      <w:pPr>
        <w:pStyle w:val="Normal"/>
        <w:spacing w:lineRule="exact" w:line="283"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Ввиду того, что критерии отнесения юридических и физических лиц к одной группе, предусмотренные пунктами 2 и 4 части 1 статьи 9 Закона о защите конкуренции в предыдущей редакции, предусматривали лишь юридические лица организационно-правовой формы «хозяйственное общество, (товарищество, хозяйственное партнерство)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то при отнесении юридических и физических лиц к одной группе по данным критериям терялись юридические лица иных организационно-правовых форм, поименованных в Гражданском кодексе Российской Федерации.</w:t>
      </w:r>
    </w:p>
    <w:p>
      <w:pPr>
        <w:pStyle w:val="NormalWeb"/>
        <w:spacing w:lineRule="auto" w:line="240" w:beforeAutospacing="0" w:before="0" w:after="0"/>
        <w:ind w:firstLine="703"/>
        <w:jc w:val="both"/>
        <w:rPr>
          <w:sz w:val="28"/>
        </w:rPr>
      </w:pPr>
      <w:r>
        <w:rPr>
          <w:sz w:val="28"/>
          <w:szCs w:val="27"/>
        </w:rPr>
        <w:t>Часть 1 статьи 10 Закона о защите конкуренции в редакции 275-ФЗ 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pPr>
        <w:pStyle w:val="NormalWeb"/>
        <w:spacing w:lineRule="auto" w:line="240" w:beforeAutospacing="0" w:before="0" w:after="0"/>
        <w:ind w:firstLine="709"/>
        <w:jc w:val="both"/>
        <w:rPr>
          <w:sz w:val="28"/>
        </w:rPr>
      </w:pPr>
      <w:r>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pPr>
        <w:pStyle w:val="NormalWeb"/>
        <w:spacing w:lineRule="auto" w:line="240" w:beforeAutospacing="0" w:before="0" w:after="0"/>
        <w:ind w:firstLine="709"/>
        <w:jc w:val="both"/>
        <w:rPr>
          <w:sz w:val="28"/>
        </w:rPr>
      </w:pPr>
      <w:r>
        <w:rPr>
          <w:sz w:val="28"/>
          <w:szCs w:val="27"/>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pPr>
        <w:pStyle w:val="NormalWeb"/>
        <w:spacing w:lineRule="auto" w:line="240" w:beforeAutospacing="0" w:before="0" w:after="0"/>
        <w:ind w:firstLine="709"/>
        <w:jc w:val="both"/>
        <w:rPr>
          <w:sz w:val="28"/>
        </w:rPr>
      </w:pPr>
      <w:r>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pPr>
        <w:pStyle w:val="NormalWeb"/>
        <w:spacing w:lineRule="auto" w:line="240" w:beforeAutospacing="0" w:before="0" w:after="0"/>
        <w:ind w:firstLine="709"/>
        <w:jc w:val="both"/>
        <w:rPr>
          <w:sz w:val="28"/>
        </w:rPr>
      </w:pPr>
      <w:r>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pPr>
        <w:pStyle w:val="NormalWeb"/>
        <w:spacing w:lineRule="auto" w:line="240" w:beforeAutospacing="0" w:before="0" w:after="0"/>
        <w:ind w:firstLine="709"/>
        <w:jc w:val="both"/>
        <w:rPr>
          <w:sz w:val="28"/>
        </w:rPr>
      </w:pPr>
      <w:r>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pPr>
        <w:pStyle w:val="NormalWeb"/>
        <w:spacing w:lineRule="auto" w:line="240" w:beforeAutospacing="0" w:before="0" w:after="0"/>
        <w:ind w:firstLine="709"/>
        <w:jc w:val="both"/>
        <w:rPr>
          <w:sz w:val="28"/>
        </w:rPr>
      </w:pPr>
      <w:r>
        <w:rPr>
          <w:sz w:val="28"/>
          <w:szCs w:val="27"/>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pPr>
        <w:pStyle w:val="NormalWeb"/>
        <w:spacing w:lineRule="auto" w:line="240" w:beforeAutospacing="0" w:before="0" w:after="0"/>
        <w:ind w:firstLine="709"/>
        <w:jc w:val="both"/>
        <w:rPr>
          <w:sz w:val="28"/>
        </w:rPr>
      </w:pPr>
      <w:r>
        <w:rPr>
          <w:sz w:val="28"/>
          <w:szCs w:val="27"/>
        </w:rPr>
        <w:t>Также граждане подают заявления об ущемлении их интересов страховыми организациями.</w:t>
      </w:r>
    </w:p>
    <w:p>
      <w:pPr>
        <w:pStyle w:val="NormalWeb"/>
        <w:spacing w:lineRule="auto" w:line="240" w:beforeAutospacing="0" w:before="0" w:after="0"/>
        <w:ind w:firstLine="709"/>
        <w:jc w:val="both"/>
        <w:rPr>
          <w:sz w:val="28"/>
        </w:rPr>
      </w:pPr>
      <w:r>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pPr>
        <w:pStyle w:val="NormalWeb"/>
        <w:spacing w:lineRule="auto" w:line="240" w:beforeAutospacing="0" w:before="0" w:after="0"/>
        <w:ind w:firstLine="709"/>
        <w:jc w:val="both"/>
        <w:rPr>
          <w:sz w:val="28"/>
        </w:rPr>
      </w:pPr>
      <w:r>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pPr>
        <w:pStyle w:val="NormalWeb"/>
        <w:spacing w:lineRule="auto" w:line="240" w:beforeAutospacing="0" w:before="0" w:after="0"/>
        <w:ind w:firstLine="709"/>
        <w:jc w:val="both"/>
        <w:rPr>
          <w:sz w:val="28"/>
        </w:rPr>
      </w:pPr>
      <w:r>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pPr>
        <w:pStyle w:val="NormalWeb"/>
        <w:spacing w:lineRule="auto" w:line="240" w:beforeAutospacing="0" w:before="0" w:after="0"/>
        <w:ind w:firstLine="709"/>
        <w:jc w:val="both"/>
        <w:rPr>
          <w:sz w:val="28"/>
        </w:rPr>
      </w:pPr>
      <w:r>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pPr>
        <w:pStyle w:val="NormalWeb"/>
        <w:spacing w:lineRule="auto" w:line="240" w:beforeAutospacing="0" w:before="0" w:after="0"/>
        <w:ind w:firstLine="709"/>
        <w:jc w:val="both"/>
        <w:rPr>
          <w:sz w:val="28"/>
        </w:rPr>
      </w:pPr>
      <w:r>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pPr>
        <w:pStyle w:val="NormalWeb"/>
        <w:spacing w:lineRule="auto" w:line="240" w:beforeAutospacing="0" w:before="0" w:after="0"/>
        <w:ind w:firstLine="709"/>
        <w:jc w:val="both"/>
        <w:rPr>
          <w:sz w:val="28"/>
        </w:rPr>
      </w:pPr>
      <w:r>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pPr>
        <w:pStyle w:val="NormalWeb"/>
        <w:spacing w:lineRule="auto" w:line="240" w:beforeAutospacing="0" w:before="0" w:after="0"/>
        <w:ind w:firstLine="703"/>
        <w:jc w:val="both"/>
        <w:rPr>
          <w:sz w:val="28"/>
          <w:szCs w:val="28"/>
        </w:rPr>
      </w:pPr>
      <w:r>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pPr>
        <w:pStyle w:val="NormalWeb"/>
        <w:spacing w:lineRule="auto" w:line="240" w:beforeAutospacing="0" w:before="0" w:after="0"/>
        <w:ind w:firstLine="703"/>
        <w:jc w:val="both"/>
        <w:rPr>
          <w:sz w:val="28"/>
          <w:szCs w:val="28"/>
        </w:rPr>
      </w:pPr>
      <w:r>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pPr>
        <w:pStyle w:val="NormalWeb"/>
        <w:spacing w:lineRule="auto" w:line="240" w:beforeAutospacing="0" w:before="0" w:after="0"/>
        <w:ind w:firstLine="703"/>
        <w:jc w:val="both"/>
        <w:rPr>
          <w:sz w:val="28"/>
          <w:szCs w:val="28"/>
        </w:rPr>
      </w:pPr>
      <w:r>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pPr>
        <w:pStyle w:val="NormalWeb"/>
        <w:spacing w:lineRule="auto" w:line="240" w:beforeAutospacing="0" w:before="0" w:after="0"/>
        <w:ind w:firstLine="703"/>
        <w:jc w:val="both"/>
        <w:rPr>
          <w:sz w:val="28"/>
          <w:szCs w:val="28"/>
        </w:rPr>
      </w:pPr>
      <w:r>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pPr>
        <w:pStyle w:val="NormalWeb"/>
        <w:spacing w:lineRule="auto" w:line="240" w:beforeAutospacing="0" w:before="0" w:after="0"/>
        <w:ind w:firstLine="703"/>
        <w:jc w:val="both"/>
        <w:rPr>
          <w:sz w:val="28"/>
          <w:szCs w:val="28"/>
        </w:rPr>
      </w:pPr>
      <w:r>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pPr>
        <w:pStyle w:val="NormalWeb"/>
        <w:spacing w:lineRule="auto" w:line="240" w:beforeAutospacing="0" w:before="0" w:after="0"/>
        <w:ind w:firstLine="703"/>
        <w:jc w:val="both"/>
        <w:rPr>
          <w:sz w:val="28"/>
          <w:szCs w:val="28"/>
        </w:rPr>
      </w:pPr>
      <w:r>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pPr>
        <w:pStyle w:val="NormalWeb"/>
        <w:spacing w:lineRule="auto" w:line="240" w:beforeAutospacing="0" w:before="0" w:after="0"/>
        <w:ind w:firstLine="703"/>
        <w:jc w:val="both"/>
        <w:rPr>
          <w:sz w:val="28"/>
          <w:szCs w:val="28"/>
        </w:rPr>
      </w:pPr>
      <w:r>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pPr>
        <w:pStyle w:val="NormalWeb"/>
        <w:spacing w:lineRule="auto" w:line="240" w:beforeAutospacing="0" w:before="0" w:after="0"/>
        <w:ind w:firstLine="709"/>
        <w:jc w:val="both"/>
        <w:rPr>
          <w:sz w:val="28"/>
          <w:szCs w:val="28"/>
        </w:rPr>
      </w:pPr>
      <w:r>
        <w:rPr>
          <w:sz w:val="28"/>
          <w:szCs w:val="28"/>
        </w:rPr>
        <w:t>Закон о защите конкуренции дополнен новой главой 2</w:t>
      </w:r>
      <w:r>
        <w:rPr>
          <w:sz w:val="28"/>
          <w:szCs w:val="28"/>
          <w:vertAlign w:val="superscript"/>
        </w:rPr>
        <w:t>1</w:t>
      </w:r>
      <w:r>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pPr>
        <w:pStyle w:val="NormalWeb"/>
        <w:spacing w:lineRule="auto" w:line="240" w:beforeAutospacing="0" w:before="0" w:after="0"/>
        <w:ind w:firstLine="709"/>
        <w:jc w:val="both"/>
        <w:rPr>
          <w:sz w:val="28"/>
          <w:szCs w:val="28"/>
        </w:rPr>
      </w:pPr>
      <w:r>
        <w:rPr>
          <w:sz w:val="28"/>
          <w:szCs w:val="28"/>
        </w:rPr>
        <w:t>Статьей 14</w:t>
      </w:r>
      <w:r>
        <w:rPr>
          <w:sz w:val="28"/>
          <w:szCs w:val="28"/>
          <w:vertAlign w:val="superscript"/>
        </w:rPr>
        <w:t>1</w:t>
      </w:r>
      <w:r>
        <w:rPr>
          <w:sz w:val="28"/>
          <w:szCs w:val="28"/>
        </w:rPr>
        <w:t xml:space="preserve"> Закона о защите конкуренции установлен запрет на 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pPr>
        <w:pStyle w:val="NormalWeb"/>
        <w:spacing w:lineRule="auto" w:line="240" w:beforeAutospacing="0" w:before="0" w:after="0"/>
        <w:ind w:firstLine="709"/>
        <w:jc w:val="both"/>
        <w:rPr>
          <w:sz w:val="28"/>
          <w:szCs w:val="28"/>
        </w:rPr>
      </w:pPr>
      <w:r>
        <w:rPr>
          <w:sz w:val="28"/>
          <w:szCs w:val="28"/>
        </w:rPr>
        <w:t xml:space="preserve">Дискредитация имеет своей целью подрыв доверия клиентуры (потребителей или иных контрагентов) к конкуренту или его продукции и привлечение потребителей к собственной продукции путем распространения ненадлежащей информации, в число которой входит и неполная информация о конкуренте, его товарах и услугах.  </w:t>
      </w:r>
    </w:p>
    <w:p>
      <w:pPr>
        <w:pStyle w:val="NormalWeb"/>
        <w:spacing w:lineRule="auto" w:line="240" w:beforeAutospacing="0" w:before="0" w:after="0"/>
        <w:ind w:firstLine="709"/>
        <w:jc w:val="both"/>
        <w:rPr>
          <w:sz w:val="28"/>
          <w:szCs w:val="28"/>
        </w:rPr>
      </w:pPr>
      <w:r>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pPr>
        <w:pStyle w:val="NormalWeb"/>
        <w:spacing w:lineRule="auto" w:line="240" w:beforeAutospacing="0" w:before="0" w:after="0"/>
        <w:ind w:firstLine="709"/>
        <w:jc w:val="both"/>
        <w:rPr>
          <w:sz w:val="28"/>
          <w:szCs w:val="28"/>
        </w:rPr>
      </w:pPr>
      <w:r>
        <w:rPr>
          <w:sz w:val="28"/>
          <w:szCs w:val="28"/>
        </w:rPr>
        <w:t xml:space="preserve">Можно выделить три признака рассматриваемой формы недобросовестной конкуренции: распространение информации, ее недостоверность (ложность, неточность, искаженность) и причинение вреда (ущерба деловой репутации).  </w:t>
      </w:r>
    </w:p>
    <w:p>
      <w:pPr>
        <w:pStyle w:val="NormalWeb"/>
        <w:spacing w:lineRule="auto" w:line="240" w:beforeAutospacing="0" w:before="0" w:after="0"/>
        <w:ind w:firstLine="709"/>
        <w:jc w:val="both"/>
        <w:rPr>
          <w:sz w:val="28"/>
          <w:szCs w:val="28"/>
        </w:rPr>
      </w:pPr>
      <w:r>
        <w:rPr>
          <w:bCs/>
          <w:sz w:val="28"/>
          <w:szCs w:val="28"/>
        </w:rPr>
        <w:t xml:space="preserve">Под распространением </w:t>
      </w:r>
      <w:r>
        <w:rPr>
          <w:sz w:val="28"/>
          <w:szCs w:val="28"/>
        </w:rPr>
        <w:t xml:space="preserve">информации понимаются любые действия, в результате которых информация стала известна третьим лицам (хотя бы одному). </w:t>
      </w:r>
    </w:p>
    <w:p>
      <w:pPr>
        <w:pStyle w:val="NormalWeb"/>
        <w:spacing w:lineRule="auto" w:line="240" w:beforeAutospacing="0" w:before="0" w:after="0"/>
        <w:ind w:firstLine="709"/>
        <w:jc w:val="both"/>
        <w:rPr>
          <w:sz w:val="28"/>
          <w:szCs w:val="28"/>
        </w:rPr>
      </w:pPr>
      <w:r>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pPr>
        <w:pStyle w:val="NormalWeb"/>
        <w:spacing w:lineRule="auto" w:line="240" w:beforeAutospacing="0" w:before="0" w:after="0"/>
        <w:ind w:firstLine="709"/>
        <w:jc w:val="both"/>
        <w:rPr>
          <w:sz w:val="28"/>
          <w:szCs w:val="28"/>
        </w:rPr>
      </w:pPr>
      <w:r>
        <w:rPr>
          <w:bCs/>
          <w:sz w:val="28"/>
          <w:szCs w:val="28"/>
        </w:rPr>
        <w:t>Ложность</w:t>
      </w:r>
      <w:r>
        <w:rPr>
          <w:sz w:val="28"/>
          <w:szCs w:val="28"/>
        </w:rPr>
        <w:t xml:space="preserve"> означает полное несоответствие информации действительному положению дел. </w:t>
      </w:r>
    </w:p>
    <w:p>
      <w:pPr>
        <w:pStyle w:val="NormalWeb"/>
        <w:spacing w:lineRule="auto" w:line="240" w:beforeAutospacing="0" w:before="0" w:after="0"/>
        <w:ind w:firstLine="709"/>
        <w:jc w:val="both"/>
        <w:rPr>
          <w:sz w:val="28"/>
          <w:szCs w:val="28"/>
        </w:rPr>
      </w:pPr>
      <w:r>
        <w:rPr>
          <w:bCs/>
          <w:sz w:val="28"/>
          <w:szCs w:val="28"/>
        </w:rPr>
        <w:t>Искаженность</w:t>
      </w:r>
      <w:r>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pPr>
        <w:pStyle w:val="NormalWeb"/>
        <w:spacing w:lineRule="auto" w:line="240" w:beforeAutospacing="0" w:before="0" w:after="0"/>
        <w:ind w:firstLine="709"/>
        <w:jc w:val="both"/>
        <w:rPr>
          <w:sz w:val="28"/>
          <w:szCs w:val="28"/>
        </w:rPr>
      </w:pPr>
      <w:r>
        <w:rPr>
          <w:bCs/>
          <w:sz w:val="28"/>
          <w:szCs w:val="28"/>
        </w:rPr>
        <w:t>Неточность</w:t>
      </w:r>
      <w:r>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pPr>
        <w:pStyle w:val="NormalWeb"/>
        <w:spacing w:lineRule="auto" w:line="240" w:beforeAutospacing="0" w:before="0" w:after="0"/>
        <w:ind w:firstLine="709"/>
        <w:jc w:val="both"/>
        <w:rPr>
          <w:sz w:val="28"/>
          <w:szCs w:val="28"/>
        </w:rPr>
      </w:pPr>
      <w:r>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pPr>
        <w:pStyle w:val="NormalWeb"/>
        <w:spacing w:lineRule="auto" w:line="240" w:beforeAutospacing="0" w:before="0" w:after="0"/>
        <w:ind w:firstLine="709"/>
        <w:jc w:val="both"/>
        <w:rPr>
          <w:sz w:val="28"/>
          <w:szCs w:val="28"/>
        </w:rPr>
      </w:pPr>
      <w:r>
        <w:rPr>
          <w:bCs/>
          <w:sz w:val="28"/>
          <w:szCs w:val="28"/>
        </w:rPr>
        <w:t xml:space="preserve">Вред </w:t>
      </w:r>
      <w:r>
        <w:rPr>
          <w:sz w:val="28"/>
          <w:szCs w:val="28"/>
        </w:rPr>
        <w:t xml:space="preserve">может выражаться в убытках или ущербе деловой репутации. </w:t>
      </w:r>
    </w:p>
    <w:p>
      <w:pPr>
        <w:pStyle w:val="NormalWeb"/>
        <w:spacing w:lineRule="auto" w:line="240" w:beforeAutospacing="0" w:before="0" w:after="0"/>
        <w:ind w:firstLine="709"/>
        <w:jc w:val="both"/>
        <w:rPr>
          <w:sz w:val="28"/>
          <w:szCs w:val="28"/>
        </w:rPr>
      </w:pPr>
      <w:r>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pPr>
        <w:pStyle w:val="NormalWeb"/>
        <w:spacing w:lineRule="auto" w:line="240" w:beforeAutospacing="0" w:before="0" w:after="0"/>
        <w:ind w:firstLine="709"/>
        <w:jc w:val="both"/>
        <w:rPr>
          <w:sz w:val="28"/>
          <w:szCs w:val="28"/>
        </w:rPr>
      </w:pPr>
      <w:r>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pPr>
        <w:pStyle w:val="NormalWeb"/>
        <w:spacing w:lineRule="auto" w:line="240" w:beforeAutospacing="0" w:before="0" w:after="0"/>
        <w:ind w:firstLine="709"/>
        <w:jc w:val="both"/>
        <w:rPr>
          <w:sz w:val="28"/>
          <w:szCs w:val="28"/>
        </w:rPr>
      </w:pPr>
      <w:r>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pPr>
        <w:pStyle w:val="NormalWeb"/>
        <w:spacing w:lineRule="auto" w:line="240" w:beforeAutospacing="0" w:before="0" w:after="0"/>
        <w:ind w:firstLine="709"/>
        <w:jc w:val="both"/>
        <w:rPr>
          <w:sz w:val="28"/>
          <w:szCs w:val="28"/>
        </w:rPr>
      </w:pPr>
      <w:r>
        <w:rPr>
          <w:sz w:val="28"/>
          <w:szCs w:val="28"/>
        </w:rPr>
        <w:t>В определении Верховного Суда РФ от 26.10.2015 по делу</w:t>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pPr>
        <w:pStyle w:val="NormalWeb"/>
        <w:spacing w:lineRule="auto" w:line="240" w:beforeAutospacing="0" w:before="0" w:after="0"/>
        <w:ind w:firstLine="709"/>
        <w:jc w:val="both"/>
        <w:rPr>
          <w:sz w:val="28"/>
          <w:szCs w:val="28"/>
        </w:rPr>
      </w:pPr>
      <w:r>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pPr>
        <w:pStyle w:val="NormalWeb"/>
        <w:spacing w:lineRule="auto" w:line="240" w:beforeAutospacing="0" w:before="0" w:after="0"/>
        <w:ind w:firstLine="709"/>
        <w:jc w:val="both"/>
        <w:rPr>
          <w:sz w:val="28"/>
          <w:szCs w:val="28"/>
        </w:rPr>
      </w:pPr>
      <w:r>
        <w:rPr>
          <w:sz w:val="28"/>
          <w:szCs w:val="28"/>
        </w:rPr>
        <w:t xml:space="preserve">Объектом дискредитации являются сами </w:t>
      </w:r>
      <w:r>
        <w:rPr>
          <w:bCs/>
          <w:sz w:val="28"/>
          <w:szCs w:val="28"/>
        </w:rPr>
        <w:t xml:space="preserve">товары </w:t>
      </w:r>
      <w:r>
        <w:rPr>
          <w:sz w:val="28"/>
          <w:szCs w:val="28"/>
        </w:rPr>
        <w:t xml:space="preserve">(их качество, 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Pr>
          <w:bCs/>
          <w:sz w:val="28"/>
          <w:szCs w:val="28"/>
        </w:rPr>
        <w:t>состояние товарного рынка на котором реализуется товар</w:t>
      </w:r>
      <w:r>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Pr>
          <w:bCs/>
          <w:sz w:val="28"/>
          <w:szCs w:val="28"/>
        </w:rPr>
        <w:t xml:space="preserve">условия реализации товара </w:t>
      </w:r>
      <w:r>
        <w:rPr>
          <w:sz w:val="28"/>
          <w:szCs w:val="28"/>
        </w:rPr>
        <w:t>(цена и иное).</w:t>
      </w:r>
    </w:p>
    <w:p>
      <w:pPr>
        <w:pStyle w:val="NormalWeb"/>
        <w:spacing w:lineRule="auto" w:line="240" w:beforeAutospacing="0" w:before="0" w:after="0"/>
        <w:ind w:firstLine="709"/>
        <w:jc w:val="both"/>
        <w:rPr>
          <w:sz w:val="28"/>
          <w:szCs w:val="28"/>
        </w:rPr>
      </w:pPr>
      <w:r>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pPr>
        <w:pStyle w:val="NormalWeb"/>
        <w:spacing w:lineRule="auto" w:line="240" w:beforeAutospacing="0" w:before="0" w:after="0"/>
        <w:ind w:firstLine="709"/>
        <w:jc w:val="both"/>
        <w:rPr>
          <w:sz w:val="28"/>
          <w:szCs w:val="28"/>
        </w:rPr>
      </w:pPr>
      <w:r>
        <w:rPr>
          <w:sz w:val="28"/>
          <w:szCs w:val="28"/>
        </w:rPr>
        <w:t>Статьей 14</w:t>
      </w:r>
      <w:r>
        <w:rPr>
          <w:sz w:val="28"/>
          <w:szCs w:val="28"/>
          <w:vertAlign w:val="superscript"/>
        </w:rPr>
        <w:t>2</w:t>
      </w:r>
      <w:r>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pPr>
        <w:pStyle w:val="NormalWeb"/>
        <w:spacing w:lineRule="auto" w:line="240" w:beforeAutospacing="0" w:before="0" w:after="0"/>
        <w:ind w:firstLine="709"/>
        <w:jc w:val="both"/>
        <w:rPr>
          <w:sz w:val="28"/>
          <w:szCs w:val="28"/>
        </w:rPr>
      </w:pPr>
      <w:r>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распространителя и (или) его товара. Однако, 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pPr>
        <w:pStyle w:val="NormalWeb"/>
        <w:spacing w:lineRule="auto" w:line="240" w:beforeAutospacing="0" w:before="0" w:after="0"/>
        <w:ind w:firstLine="709"/>
        <w:jc w:val="both"/>
        <w:rPr>
          <w:sz w:val="28"/>
          <w:szCs w:val="28"/>
        </w:rPr>
      </w:pPr>
      <w:r>
        <w:rPr>
          <w:sz w:val="28"/>
          <w:szCs w:val="28"/>
        </w:rPr>
        <w:t>Статья 14</w:t>
      </w:r>
      <w:r>
        <w:rPr>
          <w:sz w:val="28"/>
          <w:szCs w:val="28"/>
          <w:vertAlign w:val="superscript"/>
        </w:rPr>
        <w:t>2</w:t>
      </w:r>
      <w:r>
        <w:rPr>
          <w:sz w:val="28"/>
          <w:szCs w:val="28"/>
        </w:rPr>
        <w:t xml:space="preserve"> Закона о защите конкуренции содержит перечень объектов, в отношении которых возможно введение в заблуждение: </w:t>
      </w:r>
    </w:p>
    <w:p>
      <w:pPr>
        <w:pStyle w:val="NormalWeb"/>
        <w:spacing w:lineRule="auto" w:line="240" w:beforeAutospacing="0" w:before="0" w:after="0"/>
        <w:ind w:firstLine="709"/>
        <w:jc w:val="both"/>
        <w:rPr>
          <w:sz w:val="28"/>
          <w:szCs w:val="28"/>
        </w:rPr>
      </w:pPr>
      <w:r>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pPr>
        <w:pStyle w:val="NormalWeb"/>
        <w:spacing w:lineRule="auto" w:line="240" w:beforeAutospacing="0" w:before="0" w:after="0"/>
        <w:ind w:firstLine="709"/>
        <w:jc w:val="both"/>
        <w:rPr>
          <w:sz w:val="28"/>
          <w:szCs w:val="28"/>
        </w:rPr>
      </w:pPr>
      <w:r>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pPr>
        <w:pStyle w:val="NormalWeb"/>
        <w:spacing w:lineRule="auto" w:line="240" w:beforeAutospacing="0" w:before="0" w:after="0"/>
        <w:ind w:firstLine="709"/>
        <w:jc w:val="both"/>
        <w:rPr>
          <w:sz w:val="28"/>
          <w:szCs w:val="28"/>
        </w:rPr>
      </w:pPr>
      <w:r>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pPr>
        <w:pStyle w:val="NormalWeb"/>
        <w:spacing w:lineRule="auto" w:line="240" w:beforeAutospacing="0" w:before="0" w:after="0"/>
        <w:ind w:firstLine="709"/>
        <w:jc w:val="both"/>
        <w:rPr>
          <w:sz w:val="28"/>
          <w:szCs w:val="28"/>
        </w:rPr>
      </w:pPr>
      <w:r>
        <w:rPr>
          <w:sz w:val="28"/>
          <w:szCs w:val="28"/>
        </w:rPr>
        <w:t>4) условия, на которых товар предлагается к продаже, в частности цена такого товара.</w:t>
      </w:r>
    </w:p>
    <w:p>
      <w:pPr>
        <w:pStyle w:val="NormalWeb"/>
        <w:spacing w:lineRule="auto" w:line="240" w:beforeAutospacing="0" w:before="0" w:after="0"/>
        <w:ind w:firstLine="709"/>
        <w:jc w:val="both"/>
        <w:rPr>
          <w:sz w:val="28"/>
          <w:szCs w:val="28"/>
        </w:rPr>
      </w:pPr>
      <w:r>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pPr>
        <w:pStyle w:val="NormalWeb"/>
        <w:spacing w:lineRule="auto" w:line="240" w:beforeAutospacing="0" w:before="0" w:after="0"/>
        <w:ind w:firstLine="709"/>
        <w:jc w:val="both"/>
        <w:rPr>
          <w:sz w:val="28"/>
          <w:szCs w:val="28"/>
        </w:rPr>
      </w:pPr>
      <w:r>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pPr>
        <w:pStyle w:val="NormalWeb"/>
        <w:spacing w:lineRule="auto" w:line="240" w:beforeAutospacing="0" w:before="0" w:after="0"/>
        <w:ind w:firstLine="709"/>
        <w:jc w:val="both"/>
        <w:rPr>
          <w:sz w:val="28"/>
          <w:szCs w:val="28"/>
        </w:rPr>
      </w:pPr>
      <w:r>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pPr>
        <w:pStyle w:val="NormalWeb"/>
        <w:spacing w:lineRule="auto" w:line="240" w:beforeAutospacing="0" w:before="0" w:after="0"/>
        <w:ind w:firstLine="709"/>
        <w:jc w:val="both"/>
        <w:rPr>
          <w:sz w:val="28"/>
          <w:szCs w:val="28"/>
        </w:rPr>
      </w:pPr>
      <w:r>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производства товаров 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pPr>
        <w:pStyle w:val="NormalWeb"/>
        <w:spacing w:lineRule="auto" w:line="240" w:beforeAutospacing="0" w:before="0" w:after="0"/>
        <w:ind w:firstLine="709"/>
        <w:jc w:val="both"/>
        <w:rPr>
          <w:sz w:val="28"/>
          <w:szCs w:val="28"/>
        </w:rPr>
      </w:pPr>
      <w:r>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pPr>
        <w:pStyle w:val="NormalWeb"/>
        <w:spacing w:lineRule="auto" w:line="240" w:beforeAutospacing="0" w:before="0" w:after="0"/>
        <w:ind w:firstLine="709"/>
        <w:jc w:val="both"/>
        <w:rPr>
          <w:sz w:val="28"/>
          <w:szCs w:val="28"/>
        </w:rPr>
      </w:pPr>
      <w:r>
        <w:rPr>
          <w:sz w:val="28"/>
          <w:szCs w:val="28"/>
        </w:rPr>
        <w:t xml:space="preserve">Перечень обстоятельств, относительно которых потребитель может быть введен в заблуждение, является открытым. </w:t>
      </w:r>
    </w:p>
    <w:p>
      <w:pPr>
        <w:pStyle w:val="NormalWeb"/>
        <w:spacing w:lineRule="auto" w:line="240" w:beforeAutospacing="0" w:before="0" w:after="0"/>
        <w:ind w:firstLine="709"/>
        <w:jc w:val="both"/>
        <w:rPr>
          <w:sz w:val="28"/>
          <w:szCs w:val="28"/>
        </w:rPr>
      </w:pPr>
      <w:r>
        <w:rPr>
          <w:sz w:val="28"/>
          <w:szCs w:val="28"/>
        </w:rPr>
        <w:t>Статьей 14</w:t>
      </w:r>
      <w:r>
        <w:rPr>
          <w:sz w:val="28"/>
          <w:szCs w:val="28"/>
          <w:vertAlign w:val="superscript"/>
        </w:rPr>
        <w:t>3</w:t>
      </w:r>
      <w:r>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pPr>
        <w:pStyle w:val="NormalWeb"/>
        <w:spacing w:lineRule="auto" w:line="240" w:beforeAutospacing="0" w:before="0" w:after="0"/>
        <w:ind w:firstLine="709"/>
        <w:jc w:val="both"/>
        <w:rPr>
          <w:sz w:val="28"/>
          <w:szCs w:val="28"/>
        </w:rPr>
      </w:pPr>
      <w:r>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pPr>
        <w:pStyle w:val="NormalWeb"/>
        <w:spacing w:lineRule="auto" w:line="240" w:beforeAutospacing="0" w:before="0" w:after="0"/>
        <w:ind w:firstLine="709"/>
        <w:jc w:val="both"/>
        <w:rPr>
          <w:sz w:val="28"/>
          <w:szCs w:val="28"/>
        </w:rPr>
      </w:pPr>
      <w:r>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pPr>
        <w:pStyle w:val="NormalWeb"/>
        <w:spacing w:lineRule="auto" w:line="240" w:beforeAutospacing="0" w:before="0" w:after="0"/>
        <w:ind w:firstLine="709"/>
        <w:jc w:val="both"/>
        <w:rPr>
          <w:sz w:val="28"/>
          <w:szCs w:val="28"/>
        </w:rPr>
      </w:pPr>
      <w:r>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pPr>
        <w:pStyle w:val="NormalWeb"/>
        <w:spacing w:lineRule="auto" w:line="240" w:beforeAutospacing="0" w:before="0" w:after="0"/>
        <w:ind w:firstLine="709"/>
        <w:jc w:val="both"/>
        <w:rPr>
          <w:sz w:val="28"/>
          <w:szCs w:val="28"/>
        </w:rPr>
      </w:pPr>
      <w:r>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pPr>
        <w:pStyle w:val="NormalWeb"/>
        <w:spacing w:lineRule="auto" w:line="240" w:beforeAutospacing="0" w:before="0" w:after="0"/>
        <w:ind w:firstLine="709"/>
        <w:jc w:val="both"/>
        <w:rPr>
          <w:sz w:val="28"/>
          <w:szCs w:val="28"/>
        </w:rPr>
      </w:pPr>
      <w:r>
        <w:rPr>
          <w:sz w:val="28"/>
          <w:szCs w:val="28"/>
        </w:rPr>
        <w:t xml:space="preserve">Второй вид распространяется на некорректное сравнение с конкретным хозяйствующим субъектом - конкурентом (товаром). </w:t>
      </w:r>
    </w:p>
    <w:p>
      <w:pPr>
        <w:pStyle w:val="NormalWeb"/>
        <w:spacing w:lineRule="auto" w:line="240" w:beforeAutospacing="0" w:before="0" w:after="0"/>
        <w:ind w:firstLine="709"/>
        <w:jc w:val="both"/>
        <w:rPr>
          <w:sz w:val="28"/>
          <w:szCs w:val="28"/>
        </w:rPr>
      </w:pPr>
      <w:r>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pPr>
        <w:pStyle w:val="NormalWeb"/>
        <w:spacing w:lineRule="auto" w:line="240" w:beforeAutospacing="0" w:before="0" w:after="0"/>
        <w:ind w:firstLine="709"/>
        <w:jc w:val="both"/>
        <w:rPr>
          <w:sz w:val="28"/>
          <w:szCs w:val="28"/>
        </w:rPr>
      </w:pPr>
      <w:r>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pPr>
        <w:pStyle w:val="NormalWeb"/>
        <w:spacing w:lineRule="auto" w:line="240" w:beforeAutospacing="0" w:before="0" w:after="0"/>
        <w:ind w:firstLine="709"/>
        <w:jc w:val="both"/>
        <w:rPr>
          <w:sz w:val="28"/>
          <w:szCs w:val="28"/>
        </w:rPr>
      </w:pPr>
      <w:r>
        <w:rPr>
          <w:sz w:val="28"/>
          <w:szCs w:val="28"/>
        </w:rPr>
        <w:t>Частью 1 статьи 14</w:t>
      </w:r>
      <w:r>
        <w:rPr>
          <w:sz w:val="28"/>
          <w:szCs w:val="28"/>
          <w:vertAlign w:val="superscript"/>
        </w:rPr>
        <w:t xml:space="preserve">4 </w:t>
      </w:r>
      <w:r>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pPr>
        <w:pStyle w:val="NormalWeb"/>
        <w:spacing w:lineRule="auto" w:line="240" w:beforeAutospacing="0" w:before="0" w:after="0"/>
        <w:ind w:firstLine="709"/>
        <w:jc w:val="both"/>
        <w:rPr>
          <w:sz w:val="28"/>
          <w:szCs w:val="28"/>
        </w:rPr>
      </w:pPr>
      <w:r>
        <w:rPr>
          <w:sz w:val="28"/>
          <w:szCs w:val="28"/>
        </w:rPr>
        <w:t>Данная норма, по сути, развивает положения пункта 6 части 2 статьи 1512 Гражданского кодекса Российской Федерации (далее – ГК РФ).</w:t>
      </w:r>
    </w:p>
    <w:p>
      <w:pPr>
        <w:pStyle w:val="NormalWeb"/>
        <w:spacing w:lineRule="auto" w:line="240" w:beforeAutospacing="0" w:before="0" w:after="0"/>
        <w:ind w:firstLine="709"/>
        <w:jc w:val="both"/>
        <w:rPr>
          <w:sz w:val="28"/>
          <w:szCs w:val="28"/>
        </w:rPr>
      </w:pPr>
      <w:r>
        <w:rPr>
          <w:sz w:val="28"/>
          <w:szCs w:val="28"/>
        </w:rPr>
        <w:t>Статьей 14</w:t>
      </w:r>
      <w:r>
        <w:rPr>
          <w:sz w:val="28"/>
          <w:szCs w:val="28"/>
          <w:vertAlign w:val="superscript"/>
        </w:rPr>
        <w:t xml:space="preserve">5 </w:t>
      </w:r>
      <w:r>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pPr>
        <w:pStyle w:val="NormalWeb"/>
        <w:spacing w:lineRule="auto" w:line="240" w:beforeAutospacing="0" w:before="0" w:after="0"/>
        <w:ind w:firstLine="709"/>
        <w:jc w:val="both"/>
        <w:rPr>
          <w:sz w:val="28"/>
          <w:szCs w:val="28"/>
        </w:rPr>
      </w:pPr>
      <w:r>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pPr>
        <w:pStyle w:val="NormalWeb"/>
        <w:spacing w:lineRule="auto" w:line="240" w:beforeAutospacing="0" w:before="0" w:after="0"/>
        <w:ind w:firstLine="709"/>
        <w:jc w:val="both"/>
        <w:rPr>
          <w:sz w:val="28"/>
          <w:szCs w:val="28"/>
        </w:rPr>
      </w:pPr>
      <w:r>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pPr>
        <w:pStyle w:val="NormalWeb"/>
        <w:spacing w:lineRule="auto" w:line="240" w:beforeAutospacing="0" w:before="0" w:after="0"/>
        <w:ind w:firstLine="709"/>
        <w:jc w:val="both"/>
        <w:rPr>
          <w:sz w:val="28"/>
          <w:szCs w:val="28"/>
        </w:rPr>
      </w:pPr>
      <w:r>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pPr>
        <w:pStyle w:val="NormalWeb"/>
        <w:spacing w:lineRule="auto" w:line="240" w:beforeAutospacing="0" w:before="0" w:after="0"/>
        <w:ind w:firstLine="709"/>
        <w:jc w:val="both"/>
        <w:rPr>
          <w:sz w:val="28"/>
          <w:szCs w:val="28"/>
        </w:rPr>
      </w:pPr>
      <w:r>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pPr>
        <w:pStyle w:val="NormalWeb"/>
        <w:spacing w:lineRule="auto" w:line="240" w:beforeAutospacing="0" w:before="0" w:after="0"/>
        <w:ind w:firstLine="709"/>
        <w:jc w:val="both"/>
        <w:rPr>
          <w:sz w:val="28"/>
          <w:szCs w:val="28"/>
        </w:rPr>
      </w:pPr>
      <w:r>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pPr>
        <w:pStyle w:val="NormalWeb"/>
        <w:spacing w:lineRule="auto" w:line="240" w:beforeAutospacing="0" w:before="0" w:after="0"/>
        <w:ind w:firstLine="709"/>
        <w:jc w:val="both"/>
        <w:rPr>
          <w:sz w:val="28"/>
          <w:szCs w:val="28"/>
        </w:rPr>
      </w:pPr>
      <w:r>
        <w:rPr>
          <w:sz w:val="28"/>
          <w:szCs w:val="28"/>
        </w:rPr>
        <w:t>Статьей 14</w:t>
      </w:r>
      <w:r>
        <w:rPr>
          <w:sz w:val="28"/>
          <w:szCs w:val="28"/>
          <w:vertAlign w:val="superscript"/>
        </w:rPr>
        <w:t>6</w:t>
      </w:r>
      <w:r>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pPr>
        <w:pStyle w:val="NormalWeb"/>
        <w:spacing w:lineRule="auto" w:line="240" w:beforeAutospacing="0" w:before="0" w:after="0"/>
        <w:ind w:firstLine="709"/>
        <w:jc w:val="both"/>
        <w:rPr>
          <w:sz w:val="28"/>
          <w:szCs w:val="28"/>
        </w:rPr>
      </w:pPr>
      <w:r>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pPr>
        <w:pStyle w:val="NormalWeb"/>
        <w:spacing w:lineRule="auto" w:line="240" w:beforeAutospacing="0" w:before="0" w:after="0"/>
        <w:ind w:firstLine="709"/>
        <w:jc w:val="both"/>
        <w:rPr>
          <w:sz w:val="28"/>
          <w:szCs w:val="28"/>
        </w:rPr>
      </w:pPr>
      <w:r>
        <w:rPr>
          <w:sz w:val="28"/>
          <w:szCs w:val="28"/>
        </w:rPr>
        <w:t>В пункте 1 статьи 14</w:t>
      </w:r>
      <w:r>
        <w:rPr>
          <w:sz w:val="28"/>
          <w:szCs w:val="28"/>
          <w:vertAlign w:val="superscript"/>
        </w:rPr>
        <w:t>6</w:t>
      </w:r>
      <w:r>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pPr>
        <w:pStyle w:val="NormalWeb"/>
        <w:spacing w:lineRule="auto" w:line="240" w:beforeAutospacing="0" w:before="0" w:after="0"/>
        <w:ind w:firstLine="709"/>
        <w:jc w:val="both"/>
        <w:rPr>
          <w:sz w:val="28"/>
          <w:szCs w:val="28"/>
        </w:rPr>
      </w:pPr>
      <w:r>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pPr>
        <w:pStyle w:val="NormalWeb"/>
        <w:spacing w:lineRule="auto" w:line="240" w:beforeAutospacing="0" w:before="0" w:after="0"/>
        <w:ind w:firstLine="709"/>
        <w:jc w:val="both"/>
        <w:rPr>
          <w:sz w:val="28"/>
          <w:szCs w:val="28"/>
        </w:rPr>
      </w:pPr>
      <w:r>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pPr>
        <w:pStyle w:val="NormalWeb"/>
        <w:spacing w:lineRule="auto" w:line="240" w:beforeAutospacing="0" w:before="0" w:after="0"/>
        <w:ind w:firstLine="709"/>
        <w:jc w:val="both"/>
        <w:rPr>
          <w:sz w:val="28"/>
          <w:szCs w:val="28"/>
        </w:rPr>
      </w:pPr>
      <w:r>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pPr>
        <w:pStyle w:val="NormalWeb"/>
        <w:spacing w:lineRule="auto" w:line="240" w:beforeAutospacing="0" w:before="0" w:after="0"/>
        <w:ind w:firstLine="709"/>
        <w:jc w:val="both"/>
        <w:rPr>
          <w:sz w:val="28"/>
          <w:szCs w:val="28"/>
        </w:rPr>
      </w:pPr>
      <w:r>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pPr>
        <w:pStyle w:val="NormalWeb"/>
        <w:spacing w:lineRule="auto" w:line="240" w:beforeAutospacing="0" w:before="0" w:after="0"/>
        <w:ind w:firstLine="709"/>
        <w:jc w:val="both"/>
        <w:rPr>
          <w:sz w:val="28"/>
          <w:szCs w:val="28"/>
        </w:rPr>
      </w:pPr>
      <w:r>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pPr>
        <w:pStyle w:val="NormalWeb"/>
        <w:spacing w:lineRule="auto" w:line="240" w:beforeAutospacing="0" w:before="0" w:after="0"/>
        <w:ind w:firstLine="709"/>
        <w:jc w:val="both"/>
        <w:rPr>
          <w:sz w:val="28"/>
          <w:szCs w:val="28"/>
        </w:rPr>
      </w:pPr>
      <w:r>
        <w:rPr>
          <w:sz w:val="28"/>
          <w:szCs w:val="28"/>
        </w:rPr>
        <w:t>Пунктом 2 статьи 14</w:t>
      </w:r>
      <w:r>
        <w:rPr>
          <w:sz w:val="28"/>
          <w:szCs w:val="28"/>
          <w:vertAlign w:val="superscript"/>
        </w:rPr>
        <w:t>6</w:t>
      </w:r>
      <w:r>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pPr>
        <w:pStyle w:val="NormalWeb"/>
        <w:spacing w:lineRule="auto" w:line="240" w:beforeAutospacing="0" w:before="0" w:after="0"/>
        <w:ind w:firstLine="709"/>
        <w:jc w:val="both"/>
        <w:rPr>
          <w:sz w:val="28"/>
          <w:szCs w:val="28"/>
        </w:rPr>
      </w:pPr>
      <w:r>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pPr>
        <w:pStyle w:val="NormalWeb"/>
        <w:spacing w:lineRule="auto" w:line="240" w:beforeAutospacing="0" w:before="0" w:after="0"/>
        <w:ind w:firstLine="709"/>
        <w:jc w:val="both"/>
        <w:rPr>
          <w:sz w:val="28"/>
          <w:szCs w:val="28"/>
        </w:rPr>
      </w:pPr>
      <w:r>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pPr>
        <w:pStyle w:val="NormalWeb"/>
        <w:spacing w:lineRule="auto" w:line="240" w:beforeAutospacing="0" w:before="0" w:after="0"/>
        <w:ind w:firstLine="709"/>
        <w:jc w:val="both"/>
        <w:rPr>
          <w:sz w:val="28"/>
          <w:szCs w:val="28"/>
        </w:rPr>
      </w:pPr>
      <w:r>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pPr>
        <w:pStyle w:val="NormalWeb"/>
        <w:spacing w:lineRule="auto" w:line="240" w:beforeAutospacing="0" w:before="0" w:after="0"/>
        <w:ind w:firstLine="709"/>
        <w:jc w:val="both"/>
        <w:rPr>
          <w:sz w:val="28"/>
          <w:szCs w:val="28"/>
        </w:rPr>
      </w:pPr>
      <w:r>
        <w:rPr>
          <w:sz w:val="28"/>
          <w:szCs w:val="28"/>
        </w:rPr>
        <w:t>Статьей 14</w:t>
      </w:r>
      <w:r>
        <w:rPr>
          <w:sz w:val="28"/>
          <w:szCs w:val="28"/>
          <w:vertAlign w:val="superscript"/>
        </w:rPr>
        <w:t>7</w:t>
      </w:r>
      <w:r>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pPr>
        <w:pStyle w:val="NormalWeb"/>
        <w:spacing w:lineRule="auto" w:line="240" w:beforeAutospacing="0" w:before="0" w:after="0"/>
        <w:ind w:firstLine="709"/>
        <w:jc w:val="both"/>
        <w:rPr>
          <w:sz w:val="28"/>
          <w:szCs w:val="28"/>
        </w:rPr>
      </w:pPr>
      <w:r>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pPr>
        <w:pStyle w:val="NormalWeb"/>
        <w:spacing w:lineRule="auto" w:line="240" w:beforeAutospacing="0" w:before="0" w:after="0"/>
        <w:ind w:firstLine="709"/>
        <w:jc w:val="both"/>
        <w:rPr>
          <w:sz w:val="28"/>
          <w:szCs w:val="28"/>
        </w:rPr>
      </w:pPr>
      <w:r>
        <w:rPr>
          <w:sz w:val="28"/>
          <w:szCs w:val="28"/>
        </w:rPr>
        <w:t>Пунктом 1 статьи 14</w:t>
      </w:r>
      <w:r>
        <w:rPr>
          <w:sz w:val="28"/>
          <w:szCs w:val="28"/>
          <w:vertAlign w:val="superscript"/>
        </w:rPr>
        <w:t>7</w:t>
      </w:r>
      <w:r>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pPr>
        <w:pStyle w:val="NormalWeb"/>
        <w:spacing w:lineRule="auto" w:line="240" w:beforeAutospacing="0" w:before="0" w:after="0"/>
        <w:ind w:firstLine="709"/>
        <w:jc w:val="both"/>
        <w:rPr>
          <w:sz w:val="28"/>
          <w:szCs w:val="28"/>
        </w:rPr>
      </w:pPr>
      <w:r>
        <w:rPr>
          <w:sz w:val="28"/>
          <w:szCs w:val="28"/>
        </w:rPr>
        <w:t>Таким образом, указанный состав нарушения должен включать в себя два действия: получение и использование.</w:t>
      </w:r>
    </w:p>
    <w:p>
      <w:pPr>
        <w:pStyle w:val="NormalWeb"/>
        <w:spacing w:lineRule="auto" w:line="240" w:beforeAutospacing="0" w:before="0" w:after="0"/>
        <w:ind w:firstLine="709"/>
        <w:jc w:val="both"/>
        <w:rPr>
          <w:sz w:val="28"/>
          <w:szCs w:val="28"/>
        </w:rPr>
      </w:pPr>
      <w:r>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pPr>
        <w:pStyle w:val="NormalWeb"/>
        <w:spacing w:lineRule="auto" w:line="240" w:beforeAutospacing="0" w:before="0" w:after="0"/>
        <w:ind w:firstLine="709"/>
        <w:jc w:val="both"/>
        <w:rPr>
          <w:sz w:val="28"/>
          <w:szCs w:val="28"/>
        </w:rPr>
      </w:pPr>
      <w:r>
        <w:rPr>
          <w:sz w:val="28"/>
          <w:szCs w:val="28"/>
        </w:rPr>
        <w:t xml:space="preserve">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 обязательств по использованию 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pPr>
        <w:pStyle w:val="NormalWeb"/>
        <w:spacing w:lineRule="auto" w:line="240" w:beforeAutospacing="0" w:before="0" w:after="0"/>
        <w:ind w:firstLine="709"/>
        <w:jc w:val="both"/>
        <w:rPr>
          <w:sz w:val="28"/>
          <w:szCs w:val="28"/>
        </w:rPr>
      </w:pPr>
      <w:r>
        <w:rPr>
          <w:sz w:val="28"/>
          <w:szCs w:val="28"/>
        </w:rPr>
        <w:t>Пунктом 2 статьи 14</w:t>
      </w:r>
      <w:r>
        <w:rPr>
          <w:sz w:val="28"/>
          <w:szCs w:val="28"/>
          <w:vertAlign w:val="superscript"/>
        </w:rPr>
        <w:t>7</w:t>
      </w:r>
      <w:r>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pPr>
        <w:pStyle w:val="NormalWeb"/>
        <w:spacing w:lineRule="auto" w:line="240" w:beforeAutospacing="0" w:before="0" w:after="0"/>
        <w:ind w:firstLine="709"/>
        <w:jc w:val="both"/>
        <w:rPr>
          <w:sz w:val="28"/>
          <w:szCs w:val="28"/>
        </w:rPr>
      </w:pPr>
      <w:r>
        <w:rPr>
          <w:sz w:val="28"/>
          <w:szCs w:val="28"/>
        </w:rPr>
        <w:t>Пунктом 3 статьи 14</w:t>
      </w:r>
      <w:r>
        <w:rPr>
          <w:sz w:val="28"/>
          <w:szCs w:val="28"/>
          <w:vertAlign w:val="superscript"/>
        </w:rPr>
        <w:t>7</w:t>
      </w:r>
      <w:r>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pPr>
        <w:pStyle w:val="NormalWeb"/>
        <w:spacing w:lineRule="auto" w:line="240" w:beforeAutospacing="0" w:before="0" w:after="0"/>
        <w:ind w:firstLine="709"/>
        <w:jc w:val="both"/>
        <w:rPr>
          <w:sz w:val="28"/>
          <w:szCs w:val="28"/>
        </w:rPr>
      </w:pPr>
      <w:r>
        <w:rPr>
          <w:sz w:val="28"/>
          <w:szCs w:val="28"/>
        </w:rPr>
        <w:t>Различие составов нарушения установленных пунктами 2 и 3 статьи 14</w:t>
      </w:r>
      <w:r>
        <w:rPr>
          <w:sz w:val="28"/>
          <w:szCs w:val="28"/>
          <w:vertAlign w:val="superscript"/>
        </w:rPr>
        <w:t>7</w:t>
      </w:r>
      <w:r>
        <w:rPr>
          <w:sz w:val="28"/>
          <w:szCs w:val="28"/>
        </w:rPr>
        <w:t xml:space="preserve"> Закона о защите конкуренции заключается в статусе лица, от которого получена такая информация.</w:t>
      </w:r>
    </w:p>
    <w:p>
      <w:pPr>
        <w:pStyle w:val="NormalWeb"/>
        <w:spacing w:lineRule="auto" w:line="240" w:beforeAutospacing="0" w:before="0" w:after="0"/>
        <w:ind w:firstLine="709"/>
        <w:jc w:val="both"/>
        <w:rPr>
          <w:sz w:val="28"/>
          <w:szCs w:val="28"/>
        </w:rPr>
      </w:pPr>
      <w:r>
        <w:rPr>
          <w:sz w:val="28"/>
          <w:szCs w:val="28"/>
        </w:rPr>
        <w:t>Пунктом 2 статьи 14</w:t>
      </w:r>
      <w:r>
        <w:rPr>
          <w:sz w:val="28"/>
          <w:szCs w:val="28"/>
          <w:vertAlign w:val="superscript"/>
        </w:rPr>
        <w:t>7</w:t>
      </w:r>
      <w:r>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pPr>
        <w:pStyle w:val="NormalWeb"/>
        <w:spacing w:lineRule="auto" w:line="240" w:beforeAutospacing="0" w:before="0" w:after="0"/>
        <w:ind w:firstLine="709"/>
        <w:jc w:val="both"/>
        <w:rPr>
          <w:sz w:val="28"/>
          <w:szCs w:val="28"/>
        </w:rPr>
      </w:pPr>
      <w:r>
        <w:rPr>
          <w:sz w:val="28"/>
          <w:szCs w:val="28"/>
        </w:rPr>
        <w:t>Пунктом 3 статьи 14</w:t>
      </w:r>
      <w:r>
        <w:rPr>
          <w:sz w:val="28"/>
          <w:szCs w:val="28"/>
          <w:vertAlign w:val="superscript"/>
        </w:rPr>
        <w:t>7</w:t>
      </w:r>
      <w:r>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pPr>
        <w:pStyle w:val="NormalWeb"/>
        <w:spacing w:lineRule="auto" w:line="240" w:beforeAutospacing="0" w:before="0" w:after="0"/>
        <w:ind w:firstLine="709"/>
        <w:jc w:val="both"/>
        <w:rPr>
          <w:sz w:val="28"/>
          <w:szCs w:val="28"/>
        </w:rPr>
      </w:pPr>
      <w:r>
        <w:rPr>
          <w:sz w:val="28"/>
          <w:szCs w:val="28"/>
        </w:rPr>
        <w:t>Перечень форм недобросовестной конкуренции не является исчерпывающим, что напрямую установлено статьей 14</w:t>
      </w:r>
      <w:r>
        <w:rPr>
          <w:sz w:val="28"/>
          <w:szCs w:val="28"/>
          <w:vertAlign w:val="superscript"/>
        </w:rPr>
        <w:t>8</w:t>
      </w:r>
      <w:r>
        <w:rPr>
          <w:sz w:val="28"/>
          <w:szCs w:val="28"/>
        </w:rPr>
        <w:t xml:space="preserve"> Закона о защите конкуренции.</w:t>
      </w:r>
    </w:p>
    <w:p>
      <w:pPr>
        <w:pStyle w:val="NormalWeb"/>
        <w:spacing w:lineRule="auto" w:line="240" w:beforeAutospacing="0" w:before="0" w:after="0"/>
        <w:ind w:firstLine="703"/>
        <w:jc w:val="both"/>
        <w:rPr>
          <w:sz w:val="28"/>
          <w:szCs w:val="28"/>
        </w:rPr>
      </w:pPr>
      <w:r>
        <w:rPr>
          <w:sz w:val="28"/>
          <w:szCs w:val="28"/>
        </w:rPr>
        <w:t>Согласно новой редакции части 1 статьи 25</w:t>
      </w:r>
      <w:r>
        <w:rPr>
          <w:sz w:val="28"/>
          <w:szCs w:val="28"/>
          <w:vertAlign w:val="superscript"/>
        </w:rPr>
        <w:t>7</w:t>
      </w:r>
      <w:r>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pPr>
        <w:pStyle w:val="NormalWeb"/>
        <w:spacing w:lineRule="auto" w:line="240" w:beforeAutospacing="0" w:before="0" w:after="0"/>
        <w:ind w:firstLine="703"/>
        <w:jc w:val="both"/>
        <w:rPr>
          <w:sz w:val="28"/>
          <w:szCs w:val="28"/>
        </w:rPr>
      </w:pPr>
      <w:r>
        <w:rPr>
          <w:sz w:val="28"/>
          <w:szCs w:val="28"/>
        </w:rPr>
        <w:t>Указанная статья дополняется частью 2</w:t>
      </w:r>
      <w:r>
        <w:rPr>
          <w:sz w:val="28"/>
          <w:szCs w:val="28"/>
          <w:vertAlign w:val="superscript"/>
        </w:rPr>
        <w:t>1</w:t>
      </w:r>
      <w:r>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pPr>
        <w:pStyle w:val="NormalWeb"/>
        <w:spacing w:lineRule="auto" w:line="240" w:beforeAutospacing="0" w:before="0" w:after="0"/>
        <w:ind w:firstLine="703"/>
        <w:jc w:val="both"/>
        <w:rPr>
          <w:sz w:val="28"/>
          <w:szCs w:val="28"/>
        </w:rPr>
      </w:pPr>
      <w:r>
        <w:rPr>
          <w:sz w:val="28"/>
          <w:szCs w:val="28"/>
        </w:rPr>
        <w:t>В соответствии с частью 3 статьи 25</w:t>
      </w:r>
      <w:r>
        <w:rPr>
          <w:sz w:val="28"/>
          <w:szCs w:val="28"/>
          <w:vertAlign w:val="superscript"/>
        </w:rPr>
        <w:t xml:space="preserve">7 </w:t>
      </w:r>
      <w:r>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Pr>
          <w:sz w:val="28"/>
          <w:szCs w:val="28"/>
          <w:vertAlign w:val="superscript"/>
        </w:rPr>
        <w:t>1 </w:t>
      </w:r>
      <w:r>
        <w:rPr>
          <w:sz w:val="28"/>
          <w:szCs w:val="28"/>
        </w:rPr>
        <w:t>указанной статьи.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Значительно расширен перечень оснований для выдачи предупреждения.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пункта 8 (создание дискриминационных условий доминирующим хозяйствующим субъектом) части 1 статьи 10,</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статей 14</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(запрет на недобросовестную конкуренцию путем дискредитации), 14</w:t>
      </w:r>
      <w:r>
        <w:rPr>
          <w:rFonts w:eastAsia="Times New Roman" w:cs="Times New Roman" w:ascii="Times New Roman" w:hAnsi="Times New Roman"/>
          <w:sz w:val="28"/>
          <w:szCs w:val="28"/>
          <w:vertAlign w:val="superscript"/>
          <w:lang w:eastAsia="ru-RU"/>
        </w:rPr>
        <w:t xml:space="preserve">2 </w:t>
      </w:r>
      <w:r>
        <w:rPr>
          <w:rFonts w:eastAsia="Times New Roman" w:cs="Times New Roman" w:ascii="Times New Roman" w:hAnsi="Times New Roman"/>
          <w:sz w:val="28"/>
          <w:szCs w:val="28"/>
          <w:lang w:eastAsia="ru-RU"/>
        </w:rPr>
        <w:t>(запрет на недобросовестную конкуренцию путем введения в заблуждение), 14</w:t>
      </w:r>
      <w:r>
        <w:rPr>
          <w:rFonts w:eastAsia="Times New Roman" w:cs="Times New Roman" w:ascii="Times New Roman" w:hAnsi="Times New Roman"/>
          <w:sz w:val="28"/>
          <w:szCs w:val="28"/>
          <w:vertAlign w:val="superscript"/>
          <w:lang w:eastAsia="ru-RU"/>
        </w:rPr>
        <w:t>3</w:t>
      </w:r>
      <w:r>
        <w:rPr>
          <w:rFonts w:eastAsia="Times New Roman" w:cs="Times New Roman" w:ascii="Times New Roman" w:hAnsi="Times New Roman"/>
          <w:sz w:val="28"/>
          <w:szCs w:val="28"/>
          <w:lang w:eastAsia="ru-RU"/>
        </w:rPr>
        <w:t xml:space="preserve"> (запрет на недобросовестную конкуренцию путем некорректного сравнения), 14</w:t>
      </w:r>
      <w:r>
        <w:rPr>
          <w:rFonts w:eastAsia="Times New Roman" w:cs="Times New Roman" w:ascii="Times New Roman" w:hAnsi="Times New Roman"/>
          <w:sz w:val="28"/>
          <w:szCs w:val="28"/>
          <w:vertAlign w:val="superscript"/>
          <w:lang w:eastAsia="ru-RU"/>
        </w:rPr>
        <w:t>7</w:t>
      </w:r>
      <w:r>
        <w:rPr>
          <w:rFonts w:eastAsia="Times New Roman" w:cs="Times New Roman" w:ascii="Times New Roman" w:hAnsi="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Pr>
          <w:rFonts w:eastAsia="Times New Roman" w:cs="Times New Roman" w:ascii="Times New Roman" w:hAnsi="Times New Roman"/>
          <w:sz w:val="28"/>
          <w:szCs w:val="28"/>
          <w:vertAlign w:val="superscript"/>
          <w:lang w:eastAsia="ru-RU"/>
        </w:rPr>
        <w:t xml:space="preserve">8 </w:t>
      </w:r>
      <w:r>
        <w:rPr>
          <w:rFonts w:eastAsia="Times New Roman" w:cs="Times New Roman" w:ascii="Times New Roman" w:hAnsi="Times New Roman"/>
          <w:sz w:val="28"/>
          <w:szCs w:val="28"/>
          <w:lang w:eastAsia="ru-RU"/>
        </w:rPr>
        <w:t>(запрет на иные формы недобросовестной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Изменена часть 8 статьи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хозяйствующему субъекту;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федеральному органу исполнительной власти;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органу государственной власти субъекта Российской Федерации;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органу местного самоуправления;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иным осуществляющим функции указанных органов органам или организациям;</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организациям, участвующим в предоставлении государственных или муниципальных услуг;</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государственныому внебюджетному фонду.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Антимонопольный орган вправе выдавать предупреждения следующего содержания: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 прекращении действий (бездействия);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об отмене или изменении актов, которые содержат признаки нарушения антимонопольного законодательства;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Закона о защите конкуренции). </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части 2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частями 5 и 6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Pr>
          <w:rFonts w:eastAsia="Times New Roman" w:cs="Times New Roman" w:ascii="Times New Roman" w:hAnsi="Times New Roman"/>
          <w:sz w:val="28"/>
          <w:szCs w:val="28"/>
          <w:vertAlign w:val="superscript"/>
          <w:lang w:eastAsia="ru-RU"/>
        </w:rPr>
        <w:t>4</w:t>
      </w:r>
      <w:r>
        <w:rPr>
          <w:rFonts w:eastAsia="Times New Roman" w:cs="Times New Roman" w:ascii="Times New Roman" w:hAnsi="Times New Roman"/>
          <w:sz w:val="28"/>
          <w:szCs w:val="28"/>
          <w:lang w:eastAsia="ru-RU"/>
        </w:rPr>
        <w:t xml:space="preserve"> КоАП РФ.</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КоАП РФ дополняется статьей 7.32</w:t>
      </w:r>
      <w:r>
        <w:rPr>
          <w:rFonts w:eastAsia="Times New Roman" w:cs="Times New Roman" w:ascii="Times New Roman" w:hAnsi="Times New Roman"/>
          <w:sz w:val="28"/>
          <w:szCs w:val="28"/>
          <w:vertAlign w:val="superscript"/>
          <w:lang w:eastAsia="ru-RU"/>
        </w:rPr>
        <w:t>4</w:t>
      </w:r>
      <w:r>
        <w:rPr>
          <w:rFonts w:eastAsia="Times New Roman" w:cs="Times New Roman" w:ascii="Times New Roman" w:hAnsi="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Pr>
          <w:rFonts w:eastAsia="Times New Roman" w:cs="Times New Roman" w:ascii="Times New Roman" w:hAnsi="Times New Roman"/>
          <w:sz w:val="28"/>
          <w:szCs w:val="28"/>
          <w:vertAlign w:val="superscript"/>
          <w:lang w:eastAsia="ru-RU"/>
        </w:rPr>
        <w:t>4</w:t>
      </w:r>
      <w:r>
        <w:rPr>
          <w:rFonts w:eastAsia="Times New Roman" w:cs="Times New Roman" w:ascii="Times New Roman" w:hAnsi="Times New Roman"/>
          <w:sz w:val="28"/>
          <w:szCs w:val="28"/>
          <w:lang w:eastAsia="ru-RU"/>
        </w:rPr>
        <w:t xml:space="preserve"> КоАП РФ.</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Pr>
          <w:rFonts w:eastAsia="Times New Roman" w:cs="Times New Roman" w:ascii="Times New Roman" w:hAnsi="Times New Roman"/>
          <w:color w:val="0000FF"/>
          <w:sz w:val="28"/>
          <w:szCs w:val="28"/>
          <w:lang w:eastAsia="ru-RU"/>
        </w:rPr>
        <w:t>.</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3"/>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Изменения, внесенные в Закон о защите конкуренции, </w:t>
      </w:r>
      <w:r>
        <w:rPr>
          <w:rFonts w:cs="Times New Roman" w:ascii="Times New Roman" w:hAnsi="Times New Roman"/>
          <w:b/>
          <w:sz w:val="28"/>
          <w:szCs w:val="28"/>
          <w:shd w:fill="FFFFFF" w:val="clear"/>
        </w:rPr>
        <w:t>в связи с принятием Федерального закона от 03.07.2016 № 264-ФЗ «О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pPr>
        <w:pStyle w:val="NormalWeb"/>
        <w:spacing w:lineRule="auto" w:line="240" w:beforeAutospacing="0" w:before="0" w:after="0"/>
        <w:ind w:firstLine="709"/>
        <w:jc w:val="both"/>
        <w:rPr>
          <w:sz w:val="28"/>
          <w:szCs w:val="28"/>
        </w:rPr>
      </w:pPr>
      <w:r>
        <w:rPr>
          <w:sz w:val="28"/>
          <w:szCs w:val="28"/>
        </w:rPr>
        <w:t>Законы № 264-ФЗ и № 316-ФЗ вступили в силу 4 июля 2016 года.</w:t>
      </w:r>
    </w:p>
    <w:p>
      <w:pPr>
        <w:pStyle w:val="NormalWeb"/>
        <w:spacing w:lineRule="auto" w:line="240" w:beforeAutospacing="0" w:before="0" w:after="0"/>
        <w:ind w:firstLine="709"/>
        <w:jc w:val="both"/>
        <w:rPr>
          <w:sz w:val="28"/>
          <w:szCs w:val="28"/>
        </w:rPr>
      </w:pPr>
      <w:r>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pPr>
        <w:pStyle w:val="NormalWeb"/>
        <w:spacing w:lineRule="auto" w:line="240" w:beforeAutospacing="0" w:before="0" w:after="0"/>
        <w:ind w:firstLine="709"/>
        <w:jc w:val="both"/>
        <w:rPr>
          <w:sz w:val="28"/>
          <w:szCs w:val="28"/>
        </w:rPr>
      </w:pPr>
      <w:r>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Pr>
          <w:sz w:val="28"/>
          <w:szCs w:val="28"/>
          <w:u w:val="single"/>
        </w:rPr>
        <w:t>юридического лица</w:t>
      </w:r>
      <w:r>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pPr>
        <w:pStyle w:val="NormalWeb"/>
        <w:spacing w:lineRule="auto" w:line="240" w:beforeAutospacing="0" w:before="0" w:after="0"/>
        <w:ind w:firstLine="709"/>
        <w:jc w:val="both"/>
        <w:rPr>
          <w:sz w:val="28"/>
          <w:szCs w:val="28"/>
        </w:rPr>
      </w:pPr>
      <w:r>
        <w:rPr>
          <w:sz w:val="28"/>
          <w:szCs w:val="28"/>
        </w:rPr>
        <w:t>Вместе с тем, для такого правила установлены исключения, в соответствии с которыми иммунитеты не предоставляются:</w:t>
      </w:r>
    </w:p>
    <w:p>
      <w:pPr>
        <w:pStyle w:val="NormalWeb"/>
        <w:spacing w:lineRule="auto" w:line="240" w:beforeAutospacing="0" w:before="0" w:after="0"/>
        <w:ind w:firstLine="709"/>
        <w:jc w:val="both"/>
        <w:rPr>
          <w:sz w:val="28"/>
          <w:szCs w:val="28"/>
        </w:rPr>
      </w:pPr>
      <w:r>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pPr>
        <w:pStyle w:val="NormalWeb"/>
        <w:spacing w:lineRule="auto" w:line="240" w:beforeAutospacing="0" w:before="0" w:after="0"/>
        <w:ind w:firstLine="709"/>
        <w:jc w:val="both"/>
        <w:rPr>
          <w:sz w:val="28"/>
          <w:szCs w:val="28"/>
        </w:rPr>
      </w:pPr>
      <w:r>
        <w:rPr>
          <w:sz w:val="28"/>
          <w:szCs w:val="28"/>
        </w:rPr>
        <w:t>- финансовым организациям;</w:t>
      </w:r>
    </w:p>
    <w:p>
      <w:pPr>
        <w:pStyle w:val="NormalWeb"/>
        <w:spacing w:lineRule="auto" w:line="240" w:beforeAutospacing="0" w:before="0" w:after="0"/>
        <w:ind w:firstLine="709"/>
        <w:jc w:val="both"/>
        <w:rPr>
          <w:sz w:val="28"/>
          <w:szCs w:val="28"/>
        </w:rPr>
      </w:pPr>
      <w:r>
        <w:rPr>
          <w:sz w:val="28"/>
          <w:szCs w:val="28"/>
        </w:rPr>
        <w:t>- субъектам естественных монополий на товарном рынке, находящемся в состоянии естественной монополии;</w:t>
      </w:r>
    </w:p>
    <w:p>
      <w:pPr>
        <w:pStyle w:val="NormalWeb"/>
        <w:spacing w:lineRule="auto" w:line="240" w:beforeAutospacing="0" w:before="0" w:after="0"/>
        <w:ind w:firstLine="709"/>
        <w:jc w:val="both"/>
        <w:rPr>
          <w:sz w:val="28"/>
          <w:szCs w:val="28"/>
        </w:rPr>
      </w:pPr>
      <w:r>
        <w:rPr>
          <w:sz w:val="28"/>
          <w:szCs w:val="28"/>
        </w:rPr>
        <w:t>- хозяйствующим субъектам, имеющим в качестве учредителей или участников хозяйствующих субъектов — юридических лиц;</w:t>
      </w:r>
    </w:p>
    <w:p>
      <w:pPr>
        <w:pStyle w:val="NormalWeb"/>
        <w:spacing w:lineRule="auto" w:line="240" w:beforeAutospacing="0" w:before="0" w:after="0"/>
        <w:ind w:firstLine="709"/>
        <w:jc w:val="both"/>
        <w:rPr>
          <w:sz w:val="28"/>
          <w:szCs w:val="28"/>
        </w:rPr>
      </w:pPr>
      <w:r>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pPr>
        <w:pStyle w:val="NormalWeb"/>
        <w:spacing w:lineRule="auto" w:line="240" w:beforeAutospacing="0" w:before="0" w:after="0"/>
        <w:ind w:firstLine="709"/>
        <w:jc w:val="both"/>
        <w:rPr>
          <w:sz w:val="28"/>
          <w:szCs w:val="28"/>
        </w:rPr>
      </w:pPr>
      <w:r>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Pr>
          <w:sz w:val="28"/>
          <w:szCs w:val="28"/>
          <w:u w:val="single"/>
        </w:rPr>
        <w:t>индивидуального предпринимателя</w:t>
      </w:r>
      <w:r>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pPr>
        <w:pStyle w:val="NormalWeb"/>
        <w:spacing w:lineRule="auto" w:line="240" w:beforeAutospacing="0" w:before="0" w:after="0"/>
        <w:ind w:firstLine="709"/>
        <w:jc w:val="both"/>
        <w:rPr>
          <w:sz w:val="28"/>
          <w:szCs w:val="28"/>
        </w:rPr>
      </w:pPr>
      <w:r>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pPr>
        <w:pStyle w:val="NormalWeb"/>
        <w:spacing w:lineRule="auto" w:line="240" w:beforeAutospacing="0" w:before="0" w:after="0"/>
        <w:ind w:firstLine="709"/>
        <w:jc w:val="both"/>
        <w:rPr>
          <w:sz w:val="28"/>
          <w:szCs w:val="28"/>
        </w:rPr>
      </w:pPr>
      <w:r>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pPr>
        <w:pStyle w:val="NormalWeb"/>
        <w:spacing w:lineRule="auto" w:line="240" w:beforeAutospacing="0" w:before="0" w:after="0"/>
        <w:ind w:firstLine="709"/>
        <w:jc w:val="both"/>
        <w:rPr>
          <w:sz w:val="28"/>
          <w:szCs w:val="28"/>
        </w:rPr>
      </w:pPr>
      <w:r>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pPr>
        <w:pStyle w:val="NormalWeb"/>
        <w:spacing w:lineRule="auto" w:line="240" w:beforeAutospacing="0" w:before="0" w:after="0"/>
        <w:ind w:firstLine="709"/>
        <w:jc w:val="both"/>
        <w:rPr>
          <w:sz w:val="28"/>
          <w:szCs w:val="28"/>
        </w:rPr>
      </w:pPr>
      <w:r>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pPr>
        <w:pStyle w:val="NormalWeb"/>
        <w:spacing w:lineRule="auto" w:line="240" w:beforeAutospacing="0" w:before="0" w:after="0"/>
        <w:ind w:firstLine="709"/>
        <w:jc w:val="both"/>
        <w:rPr>
          <w:sz w:val="28"/>
          <w:szCs w:val="28"/>
        </w:rPr>
      </w:pPr>
      <w:r>
        <w:rPr>
          <w:sz w:val="28"/>
          <w:szCs w:val="28"/>
        </w:rPr>
        <w:t> </w:t>
      </w:r>
    </w:p>
    <w:p>
      <w:pPr>
        <w:pStyle w:val="NormalWeb"/>
        <w:spacing w:lineRule="auto" w:line="240" w:beforeAutospacing="0" w:before="0" w:after="0"/>
        <w:ind w:firstLine="709"/>
        <w:jc w:val="both"/>
        <w:rPr>
          <w:sz w:val="28"/>
          <w:szCs w:val="28"/>
        </w:rPr>
      </w:pPr>
      <w:r>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pPr>
        <w:pStyle w:val="NormalWeb"/>
        <w:spacing w:lineRule="auto" w:line="240" w:beforeAutospacing="0" w:before="0" w:after="0"/>
        <w:ind w:firstLine="709"/>
        <w:jc w:val="both"/>
        <w:rPr>
          <w:sz w:val="28"/>
          <w:szCs w:val="28"/>
        </w:rPr>
      </w:pPr>
      <w:r>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pPr>
        <w:pStyle w:val="NormalWeb"/>
        <w:spacing w:lineRule="auto" w:line="240" w:beforeAutospacing="0" w:before="0" w:after="0"/>
        <w:ind w:firstLine="709"/>
        <w:jc w:val="both"/>
        <w:rPr>
          <w:sz w:val="28"/>
          <w:szCs w:val="28"/>
        </w:rPr>
      </w:pPr>
      <w:r>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pPr>
        <w:pStyle w:val="NormalWeb"/>
        <w:spacing w:lineRule="auto" w:line="240" w:beforeAutospacing="0" w:before="0" w:after="0"/>
        <w:ind w:firstLine="709"/>
        <w:jc w:val="both"/>
        <w:rPr>
          <w:sz w:val="28"/>
          <w:szCs w:val="28"/>
        </w:rPr>
      </w:pPr>
      <w:r>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pPr>
        <w:pStyle w:val="NormalWeb"/>
        <w:spacing w:lineRule="auto" w:line="240" w:beforeAutospacing="0" w:before="0" w:after="0"/>
        <w:ind w:firstLine="709"/>
        <w:jc w:val="both"/>
        <w:rPr>
          <w:sz w:val="28"/>
          <w:szCs w:val="28"/>
        </w:rPr>
      </w:pPr>
      <w:r>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pPr>
        <w:pStyle w:val="NormalWeb"/>
        <w:spacing w:lineRule="auto" w:line="240" w:beforeAutospacing="0" w:before="0" w:after="0"/>
        <w:ind w:firstLine="709"/>
        <w:jc w:val="both"/>
        <w:rPr>
          <w:sz w:val="28"/>
          <w:szCs w:val="28"/>
        </w:rPr>
      </w:pPr>
      <w:r>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pPr>
        <w:pStyle w:val="NormalWeb"/>
        <w:spacing w:lineRule="auto" w:line="240" w:beforeAutospacing="0" w:before="0" w:after="0"/>
        <w:ind w:firstLine="709"/>
        <w:jc w:val="both"/>
        <w:rPr>
          <w:sz w:val="28"/>
          <w:szCs w:val="28"/>
        </w:rPr>
      </w:pPr>
      <w:r>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pPr>
        <w:pStyle w:val="NormalWeb"/>
        <w:spacing w:lineRule="auto" w:line="240" w:beforeAutospacing="0" w:before="0" w:after="0"/>
        <w:ind w:firstLine="709"/>
        <w:jc w:val="both"/>
        <w:rPr>
          <w:sz w:val="28"/>
          <w:szCs w:val="28"/>
        </w:rPr>
      </w:pPr>
      <w:r>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pPr>
        <w:pStyle w:val="NormalWeb"/>
        <w:spacing w:lineRule="auto" w:line="240" w:beforeAutospacing="0" w:before="0" w:after="0"/>
        <w:ind w:firstLine="709"/>
        <w:jc w:val="both"/>
        <w:rPr>
          <w:sz w:val="28"/>
          <w:szCs w:val="28"/>
        </w:rPr>
      </w:pPr>
      <w:r>
        <w:rPr>
          <w:sz w:val="28"/>
          <w:szCs w:val="28"/>
        </w:rPr>
        <w:t> </w:t>
      </w:r>
      <w:r>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pPr>
        <w:pStyle w:val="NormalWeb"/>
        <w:spacing w:lineRule="auto" w:line="240" w:beforeAutospacing="0" w:before="0" w:after="0"/>
        <w:ind w:firstLine="709"/>
        <w:jc w:val="both"/>
        <w:rPr>
          <w:sz w:val="28"/>
          <w:szCs w:val="28"/>
        </w:rPr>
      </w:pPr>
      <w:r>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pPr>
        <w:pStyle w:val="NormalWeb"/>
        <w:spacing w:lineRule="auto" w:line="240" w:beforeAutospacing="0" w:before="0" w:after="0"/>
        <w:ind w:firstLine="709"/>
        <w:jc w:val="both"/>
        <w:rPr>
          <w:sz w:val="28"/>
          <w:szCs w:val="28"/>
        </w:rPr>
      </w:pPr>
      <w:r>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pPr>
        <w:pStyle w:val="NormalWeb"/>
        <w:spacing w:lineRule="auto" w:line="240" w:beforeAutospacing="0" w:before="0" w:after="0"/>
        <w:ind w:firstLine="709"/>
        <w:jc w:val="both"/>
        <w:rPr>
          <w:sz w:val="28"/>
          <w:szCs w:val="28"/>
        </w:rPr>
      </w:pPr>
      <w:r>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pPr>
        <w:pStyle w:val="NormalWeb"/>
        <w:spacing w:lineRule="auto" w:line="240" w:beforeAutospacing="0" w:before="0" w:after="0"/>
        <w:ind w:firstLine="709"/>
        <w:jc w:val="both"/>
        <w:rPr>
          <w:sz w:val="28"/>
          <w:szCs w:val="28"/>
        </w:rPr>
      </w:pPr>
      <w:r>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pPr>
        <w:pStyle w:val="NormalWeb"/>
        <w:spacing w:lineRule="auto" w:line="240" w:beforeAutospacing="0" w:before="0" w:after="0"/>
        <w:ind w:firstLine="709"/>
        <w:jc w:val="both"/>
        <w:rPr>
          <w:sz w:val="28"/>
          <w:szCs w:val="28"/>
        </w:rPr>
      </w:pPr>
      <w:r>
        <w:rPr>
          <w:sz w:val="28"/>
          <w:szCs w:val="28"/>
        </w:rPr>
        <w:t> </w:t>
      </w:r>
      <w:r>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pPr>
        <w:pStyle w:val="NormalWeb"/>
        <w:spacing w:lineRule="auto" w:line="240" w:beforeAutospacing="0" w:before="0" w:after="0"/>
        <w:ind w:firstLine="709"/>
        <w:jc w:val="both"/>
        <w:rPr>
          <w:sz w:val="28"/>
          <w:szCs w:val="28"/>
        </w:rPr>
      </w:pPr>
      <w:r>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Pr>
          <w:sz w:val="28"/>
          <w:szCs w:val="28"/>
          <w:u w:val="single"/>
        </w:rPr>
        <w:t>только в случае</w:t>
      </w:r>
      <w:r>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pPr>
        <w:pStyle w:val="NormalWeb"/>
        <w:spacing w:lineRule="auto" w:line="240" w:beforeAutospacing="0" w:before="0" w:after="0"/>
        <w:ind w:firstLine="709"/>
        <w:jc w:val="both"/>
        <w:rPr>
          <w:sz w:val="28"/>
          <w:szCs w:val="28"/>
        </w:rPr>
      </w:pPr>
      <w:r>
        <w:rPr>
          <w:sz w:val="28"/>
          <w:szCs w:val="28"/>
        </w:rPr>
        <w:t> </w:t>
      </w:r>
      <w:r>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pPr>
        <w:pStyle w:val="NormalWeb"/>
        <w:spacing w:lineRule="auto" w:line="240" w:beforeAutospacing="0" w:before="0" w:after="0"/>
        <w:ind w:firstLine="709"/>
        <w:jc w:val="both"/>
        <w:rPr>
          <w:sz w:val="28"/>
          <w:szCs w:val="28"/>
        </w:rPr>
      </w:pPr>
      <w:r>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конкуренции).</w:t>
      </w:r>
    </w:p>
    <w:p>
      <w:pPr>
        <w:pStyle w:val="NormalWeb"/>
        <w:spacing w:lineRule="auto" w:line="240" w:beforeAutospacing="0" w:before="0" w:after="0"/>
        <w:ind w:firstLine="709"/>
        <w:jc w:val="both"/>
        <w:rPr>
          <w:sz w:val="28"/>
          <w:szCs w:val="28"/>
        </w:rPr>
      </w:pPr>
      <w:r>
        <w:rPr>
          <w:sz w:val="28"/>
          <w:szCs w:val="28"/>
        </w:rPr>
        <w:t>Закон № 264-ФЗ вносит изменения также в статью 25</w:t>
      </w:r>
      <w:r>
        <w:rPr>
          <w:sz w:val="28"/>
          <w:szCs w:val="28"/>
          <w:vertAlign w:val="superscript"/>
        </w:rPr>
        <w:t xml:space="preserve">1 </w:t>
      </w:r>
      <w:r>
        <w:rPr>
          <w:sz w:val="28"/>
          <w:szCs w:val="28"/>
        </w:rPr>
        <w:t>Закона о защите конкуренции, которые предусматривают, что по основаниям, указанным в пунктах 2 и 5 части 4 статьи 25</w:t>
      </w:r>
      <w:r>
        <w:rPr>
          <w:sz w:val="28"/>
          <w:szCs w:val="28"/>
          <w:vertAlign w:val="superscript"/>
        </w:rPr>
        <w:t xml:space="preserve">1 </w:t>
      </w:r>
      <w:r>
        <w:rPr>
          <w:sz w:val="28"/>
          <w:szCs w:val="28"/>
        </w:rPr>
        <w:t xml:space="preserve">Закона о защите конкуренции, </w:t>
      </w:r>
      <w:r>
        <w:rPr>
          <w:sz w:val="28"/>
          <w:szCs w:val="28"/>
          <w:u w:val="single"/>
        </w:rPr>
        <w:t>внеплановая выездная проверка</w:t>
      </w:r>
      <w:r>
        <w:rPr>
          <w:sz w:val="28"/>
          <w:szCs w:val="28"/>
        </w:rPr>
        <w:t xml:space="preserve"> в отношении субъекта малого предпринимательства проводится </w:t>
      </w:r>
      <w:r>
        <w:rPr>
          <w:sz w:val="28"/>
          <w:szCs w:val="28"/>
          <w:u w:val="single"/>
        </w:rPr>
        <w:t>после согласования с органом прокуратуры</w:t>
      </w:r>
      <w:r>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pPr>
        <w:pStyle w:val="NormalWeb"/>
        <w:spacing w:lineRule="auto" w:line="240" w:beforeAutospacing="0" w:before="0" w:after="0"/>
        <w:ind w:firstLine="709"/>
        <w:jc w:val="both"/>
        <w:rPr>
          <w:sz w:val="28"/>
          <w:szCs w:val="28"/>
        </w:rPr>
      </w:pPr>
      <w:r>
        <w:rPr>
          <w:sz w:val="28"/>
          <w:szCs w:val="28"/>
        </w:rPr>
        <w:t>Указанное правило не применяется при внеплановых выездных проверках:</w:t>
      </w:r>
    </w:p>
    <w:p>
      <w:pPr>
        <w:pStyle w:val="NormalWeb"/>
        <w:spacing w:lineRule="auto" w:line="240" w:beforeAutospacing="0" w:before="0" w:after="0"/>
        <w:ind w:firstLine="709"/>
        <w:jc w:val="both"/>
        <w:rPr>
          <w:sz w:val="28"/>
          <w:szCs w:val="28"/>
        </w:rPr>
      </w:pPr>
      <w:r>
        <w:rPr>
          <w:sz w:val="28"/>
          <w:szCs w:val="28"/>
        </w:rPr>
        <w:t>- субъекта естественной монополии;</w:t>
      </w:r>
    </w:p>
    <w:p>
      <w:pPr>
        <w:pStyle w:val="NormalWeb"/>
        <w:spacing w:lineRule="auto" w:line="240" w:beforeAutospacing="0" w:before="0" w:after="0"/>
        <w:ind w:firstLine="709"/>
        <w:jc w:val="both"/>
        <w:rPr>
          <w:sz w:val="28"/>
          <w:szCs w:val="28"/>
        </w:rPr>
      </w:pPr>
      <w:r>
        <w:rPr>
          <w:sz w:val="28"/>
          <w:szCs w:val="28"/>
        </w:rPr>
        <w:t>- соблюдения требований, установленных частью 1 статьи 11  Закона о защите конкуренции.</w:t>
      </w:r>
    </w:p>
    <w:p>
      <w:pPr>
        <w:pStyle w:val="NormalWeb"/>
        <w:spacing w:lineRule="auto" w:line="240" w:beforeAutospacing="0" w:before="0" w:after="0"/>
        <w:ind w:firstLine="709"/>
        <w:jc w:val="both"/>
        <w:rPr>
          <w:sz w:val="28"/>
          <w:szCs w:val="28"/>
        </w:rPr>
      </w:pPr>
      <w:r>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Российской Федерации от 27.03.2009 № 93.</w:t>
      </w:r>
    </w:p>
    <w:p>
      <w:pPr>
        <w:pStyle w:val="NormalWeb"/>
        <w:spacing w:lineRule="auto" w:line="240" w:beforeAutospacing="0" w:before="0" w:after="0"/>
        <w:ind w:firstLine="709"/>
        <w:jc w:val="both"/>
        <w:rPr>
          <w:sz w:val="28"/>
          <w:szCs w:val="28"/>
        </w:rPr>
      </w:pPr>
      <w:r>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pPr>
        <w:pStyle w:val="NormalWeb"/>
        <w:spacing w:lineRule="auto" w:line="240" w:beforeAutospacing="0" w:before="0" w:after="0"/>
        <w:ind w:firstLine="709"/>
        <w:jc w:val="both"/>
        <w:rPr>
          <w:sz w:val="28"/>
          <w:szCs w:val="28"/>
        </w:rPr>
      </w:pPr>
      <w:r>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pPr>
        <w:pStyle w:val="NormalWeb"/>
        <w:spacing w:lineRule="auto" w:line="240" w:beforeAutospacing="0" w:before="0" w:after="0"/>
        <w:ind w:firstLine="709"/>
        <w:jc w:val="both"/>
        <w:rPr>
          <w:sz w:val="28"/>
          <w:szCs w:val="28"/>
        </w:rPr>
      </w:pPr>
      <w:r>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Pr>
          <w:sz w:val="28"/>
          <w:szCs w:val="28"/>
          <w:u w:val="single"/>
        </w:rPr>
        <w:t>совокупная выручка</w:t>
      </w:r>
      <w:r>
        <w:rPr>
          <w:sz w:val="28"/>
          <w:szCs w:val="28"/>
        </w:rPr>
        <w:t xml:space="preserve"> от реализации товаров которых </w:t>
      </w:r>
      <w:r>
        <w:rPr>
          <w:sz w:val="28"/>
          <w:szCs w:val="28"/>
          <w:u w:val="single"/>
        </w:rPr>
        <w:t>в рамках одной торговой сети</w:t>
      </w:r>
      <w:r>
        <w:rPr>
          <w:sz w:val="28"/>
          <w:szCs w:val="28"/>
        </w:rPr>
        <w:t xml:space="preserve"> за последний календарный год не превышает четыреста миллионов рублей.</w:t>
      </w:r>
    </w:p>
    <w:p>
      <w:pPr>
        <w:pStyle w:val="NormalWeb"/>
        <w:spacing w:lineRule="auto" w:line="240" w:beforeAutospacing="0" w:before="0" w:after="0"/>
        <w:ind w:firstLine="709"/>
        <w:jc w:val="both"/>
        <w:rPr>
          <w:sz w:val="28"/>
          <w:szCs w:val="28"/>
        </w:rPr>
      </w:pPr>
      <w:r>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pPr>
        <w:pStyle w:val="NormalWeb"/>
        <w:spacing w:lineRule="auto" w:line="240" w:beforeAutospacing="0" w:before="0" w:after="0"/>
        <w:ind w:firstLine="709"/>
        <w:jc w:val="both"/>
        <w:rPr>
          <w:sz w:val="28"/>
          <w:szCs w:val="28"/>
        </w:rPr>
      </w:pPr>
      <w:r>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pPr>
        <w:pStyle w:val="NormalWeb"/>
        <w:spacing w:lineRule="auto" w:line="240" w:beforeAutospacing="0" w:before="0" w:after="0"/>
        <w:ind w:firstLine="709"/>
        <w:jc w:val="both"/>
        <w:rPr>
          <w:sz w:val="28"/>
          <w:szCs w:val="28"/>
        </w:rPr>
      </w:pPr>
      <w:r>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pPr>
        <w:pStyle w:val="NormalWeb"/>
        <w:spacing w:lineRule="auto" w:line="240" w:beforeAutospacing="0" w:before="0" w:after="0"/>
        <w:ind w:firstLine="709"/>
        <w:jc w:val="both"/>
        <w:rPr>
          <w:sz w:val="28"/>
          <w:szCs w:val="28"/>
        </w:rPr>
      </w:pPr>
      <w:r>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pPr>
        <w:pStyle w:val="NormalWeb"/>
        <w:spacing w:lineRule="auto" w:line="240" w:beforeAutospacing="0" w:before="0" w:after="0"/>
        <w:ind w:firstLine="709"/>
        <w:jc w:val="both"/>
        <w:rPr>
          <w:sz w:val="28"/>
          <w:szCs w:val="28"/>
        </w:rPr>
      </w:pPr>
      <w:r>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pPr>
        <w:pStyle w:val="NormalWeb"/>
        <w:spacing w:lineRule="auto" w:line="240" w:beforeAutospacing="0" w:before="0" w:after="0"/>
        <w:ind w:firstLine="709"/>
        <w:jc w:val="both"/>
        <w:rPr>
          <w:sz w:val="28"/>
          <w:szCs w:val="28"/>
        </w:rPr>
      </w:pPr>
      <w:r>
        <w:rPr>
          <w:sz w:val="28"/>
          <w:szCs w:val="28"/>
        </w:rPr>
        <w:t>При привлечении к административной ответственности на основании части 2 статьи 14.9 КоАП необходимо учитывать следующее.</w:t>
      </w:r>
    </w:p>
    <w:p>
      <w:pPr>
        <w:pStyle w:val="NormalWeb"/>
        <w:spacing w:lineRule="auto" w:line="240" w:beforeAutospacing="0" w:before="0" w:after="0"/>
        <w:ind w:firstLine="709"/>
        <w:jc w:val="both"/>
        <w:rPr>
          <w:sz w:val="28"/>
          <w:szCs w:val="28"/>
        </w:rPr>
      </w:pPr>
      <w:r>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pPr>
        <w:pStyle w:val="NormalWeb"/>
        <w:spacing w:lineRule="auto" w:line="240" w:beforeAutospacing="0" w:before="0" w:after="0"/>
        <w:ind w:firstLine="709"/>
        <w:jc w:val="both"/>
        <w:rPr>
          <w:sz w:val="28"/>
          <w:szCs w:val="28"/>
        </w:rPr>
      </w:pPr>
      <w:r>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pPr>
        <w:pStyle w:val="NormalWeb"/>
        <w:spacing w:lineRule="auto" w:line="240" w:beforeAutospacing="0" w:before="0" w:after="0"/>
        <w:ind w:firstLine="709"/>
        <w:jc w:val="both"/>
        <w:rPr>
          <w:sz w:val="28"/>
          <w:szCs w:val="28"/>
        </w:rPr>
      </w:pPr>
      <w:r>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pPr>
        <w:pStyle w:val="NormalWeb"/>
        <w:spacing w:lineRule="auto" w:line="240" w:beforeAutospacing="0" w:before="0" w:after="0"/>
        <w:ind w:firstLine="709"/>
        <w:jc w:val="both"/>
        <w:rPr>
          <w:sz w:val="28"/>
          <w:szCs w:val="28"/>
        </w:rPr>
      </w:pPr>
      <w:r>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pPr>
        <w:pStyle w:val="NormalWeb"/>
        <w:spacing w:lineRule="auto" w:line="240" w:beforeAutospacing="0" w:before="0" w:after="0"/>
        <w:ind w:firstLine="709"/>
        <w:jc w:val="both"/>
        <w:rPr>
          <w:sz w:val="28"/>
          <w:szCs w:val="28"/>
        </w:rPr>
      </w:pPr>
      <w:r>
        <w:rPr>
          <w:sz w:val="28"/>
          <w:szCs w:val="28"/>
        </w:rPr>
        <w:t>Введена новая статья 4.1</w:t>
      </w:r>
      <w:r>
        <w:rPr>
          <w:sz w:val="28"/>
          <w:szCs w:val="28"/>
          <w:vertAlign w:val="superscript"/>
        </w:rPr>
        <w:t>1</w:t>
      </w:r>
      <w:r>
        <w:rPr>
          <w:sz w:val="28"/>
          <w:szCs w:val="28"/>
        </w:rPr>
        <w:t xml:space="preserve"> КоАП, предусматривающая замену административного наказания в виде административного штрафа предупреждением.</w:t>
      </w:r>
    </w:p>
    <w:p>
      <w:pPr>
        <w:pStyle w:val="NormalWeb"/>
        <w:spacing w:lineRule="auto" w:line="240" w:beforeAutospacing="0" w:before="0" w:after="0"/>
        <w:ind w:firstLine="709"/>
        <w:jc w:val="both"/>
        <w:rPr>
          <w:sz w:val="28"/>
          <w:szCs w:val="28"/>
        </w:rPr>
      </w:pPr>
      <w:r>
        <w:rPr>
          <w:sz w:val="28"/>
          <w:szCs w:val="28"/>
        </w:rPr>
        <w:t>Согласно части 1 статьи 4.1</w:t>
      </w:r>
      <w:r>
        <w:rPr>
          <w:sz w:val="28"/>
          <w:szCs w:val="28"/>
          <w:vertAlign w:val="superscript"/>
        </w:rPr>
        <w:t>1</w:t>
      </w:r>
      <w:r>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Pr>
          <w:sz w:val="28"/>
          <w:szCs w:val="28"/>
          <w:u w:val="single"/>
        </w:rPr>
        <w:t>за впервые совершенное</w:t>
      </w:r>
      <w:r>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Pr>
          <w:sz w:val="28"/>
          <w:szCs w:val="28"/>
          <w:vertAlign w:val="superscript"/>
        </w:rPr>
        <w:t>1</w:t>
      </w:r>
      <w:r>
        <w:rPr>
          <w:sz w:val="28"/>
          <w:szCs w:val="28"/>
        </w:rPr>
        <w:t>.</w:t>
      </w:r>
    </w:p>
    <w:p>
      <w:pPr>
        <w:pStyle w:val="NormalWeb"/>
        <w:spacing w:lineRule="auto" w:line="240" w:beforeAutospacing="0" w:before="0" w:after="0"/>
        <w:ind w:firstLine="709"/>
        <w:jc w:val="both"/>
        <w:rPr>
          <w:sz w:val="28"/>
          <w:szCs w:val="28"/>
        </w:rPr>
      </w:pPr>
      <w:r>
        <w:rPr>
          <w:sz w:val="28"/>
          <w:szCs w:val="28"/>
        </w:rPr>
        <w:t>При этом, часть 1 статьи 4.1</w:t>
      </w:r>
      <w:r>
        <w:rPr>
          <w:sz w:val="28"/>
          <w:szCs w:val="28"/>
          <w:vertAlign w:val="superscript"/>
        </w:rPr>
        <w:t>1</w:t>
      </w:r>
      <w:r>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pPr>
        <w:pStyle w:val="NormalWeb"/>
        <w:spacing w:lineRule="auto" w:line="240" w:beforeAutospacing="0" w:before="0" w:after="0"/>
        <w:ind w:firstLine="709"/>
        <w:jc w:val="both"/>
        <w:rPr>
          <w:sz w:val="28"/>
          <w:szCs w:val="28"/>
        </w:rPr>
      </w:pPr>
      <w:r>
        <w:rPr>
          <w:sz w:val="28"/>
          <w:szCs w:val="28"/>
        </w:rPr>
        <w:t>Согласно части 3 статьи 4.1</w:t>
      </w:r>
      <w:r>
        <w:rPr>
          <w:sz w:val="28"/>
          <w:szCs w:val="28"/>
          <w:vertAlign w:val="superscript"/>
        </w:rPr>
        <w:t>1</w:t>
      </w:r>
      <w:r>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pPr>
        <w:pStyle w:val="NormalWeb"/>
        <w:spacing w:lineRule="auto" w:line="240" w:beforeAutospacing="0" w:before="0" w:after="0"/>
        <w:ind w:firstLine="709"/>
        <w:jc w:val="both"/>
        <w:rPr>
          <w:sz w:val="28"/>
          <w:szCs w:val="28"/>
        </w:rPr>
      </w:pPr>
      <w:r>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pPr>
        <w:pStyle w:val="NormalWeb"/>
        <w:spacing w:lineRule="auto" w:line="240" w:beforeAutospacing="0" w:before="0" w:after="0"/>
        <w:ind w:firstLine="709"/>
        <w:jc w:val="both"/>
        <w:rPr>
          <w:sz w:val="28"/>
          <w:szCs w:val="28"/>
        </w:rPr>
      </w:pPr>
      <w:r>
        <w:rPr>
          <w:sz w:val="28"/>
          <w:szCs w:val="28"/>
        </w:rPr>
        <w:t>- жизни и здоровью людей,</w:t>
      </w:r>
    </w:p>
    <w:p>
      <w:pPr>
        <w:pStyle w:val="NormalWeb"/>
        <w:spacing w:lineRule="auto" w:line="240" w:beforeAutospacing="0" w:before="0" w:after="0"/>
        <w:ind w:firstLine="709"/>
        <w:jc w:val="both"/>
        <w:rPr>
          <w:sz w:val="28"/>
          <w:szCs w:val="28"/>
        </w:rPr>
      </w:pPr>
      <w:r>
        <w:rPr>
          <w:sz w:val="28"/>
          <w:szCs w:val="28"/>
        </w:rPr>
        <w:t xml:space="preserve">- объектам животного и растительного мира, </w:t>
      </w:r>
    </w:p>
    <w:p>
      <w:pPr>
        <w:pStyle w:val="NormalWeb"/>
        <w:spacing w:lineRule="auto" w:line="240" w:beforeAutospacing="0" w:before="0" w:after="0"/>
        <w:ind w:firstLine="709"/>
        <w:jc w:val="both"/>
        <w:rPr>
          <w:sz w:val="28"/>
          <w:szCs w:val="28"/>
        </w:rPr>
      </w:pPr>
      <w:r>
        <w:rPr>
          <w:sz w:val="28"/>
          <w:szCs w:val="28"/>
        </w:rPr>
        <w:t xml:space="preserve">- окружающей среде, </w:t>
      </w:r>
    </w:p>
    <w:p>
      <w:pPr>
        <w:pStyle w:val="NormalWeb"/>
        <w:spacing w:lineRule="auto" w:line="240" w:beforeAutospacing="0" w:before="0" w:after="0"/>
        <w:ind w:firstLine="709"/>
        <w:jc w:val="both"/>
        <w:rPr>
          <w:sz w:val="28"/>
          <w:szCs w:val="28"/>
        </w:rPr>
      </w:pPr>
      <w:r>
        <w:rPr>
          <w:sz w:val="28"/>
          <w:szCs w:val="28"/>
        </w:rPr>
        <w:t xml:space="preserve">- объектам культурного наследия (памятникам истории и культуры) народов Российской Федерации, </w:t>
      </w:r>
    </w:p>
    <w:p>
      <w:pPr>
        <w:pStyle w:val="NormalWeb"/>
        <w:spacing w:lineRule="auto" w:line="240" w:beforeAutospacing="0" w:before="0" w:after="0"/>
        <w:ind w:firstLine="709"/>
        <w:jc w:val="both"/>
        <w:rPr>
          <w:sz w:val="28"/>
          <w:szCs w:val="28"/>
        </w:rPr>
      </w:pPr>
      <w:r>
        <w:rPr>
          <w:sz w:val="28"/>
          <w:szCs w:val="28"/>
        </w:rPr>
        <w:t>- безопасности государства, угрозы чрезвычайных ситуаций природного и техногенного характера, а также при отсутствии имущественного ущерба (часть 3.5 статьи 4.1 КоАП).</w:t>
      </w:r>
    </w:p>
    <w:p>
      <w:pPr>
        <w:pStyle w:val="NormalWeb"/>
        <w:spacing w:lineRule="auto" w:line="240" w:beforeAutospacing="0" w:before="0" w:after="0"/>
        <w:ind w:firstLine="709"/>
        <w:jc w:val="both"/>
        <w:rPr>
          <w:sz w:val="28"/>
          <w:szCs w:val="28"/>
        </w:rPr>
      </w:pPr>
      <w:r>
        <w:rPr>
          <w:sz w:val="28"/>
          <w:szCs w:val="28"/>
        </w:rPr>
      </w:r>
    </w:p>
    <w:p>
      <w:pPr>
        <w:pStyle w:val="NormalWeb"/>
        <w:spacing w:lineRule="auto" w:line="240" w:beforeAutospacing="0" w:before="0" w:after="0"/>
        <w:ind w:firstLine="709"/>
        <w:jc w:val="center"/>
        <w:rPr>
          <w:b/>
          <w:b/>
          <w:sz w:val="32"/>
          <w:szCs w:val="32"/>
        </w:rPr>
      </w:pPr>
      <w:r>
        <w:rPr>
          <w:b/>
          <w:sz w:val="32"/>
          <w:szCs w:val="32"/>
        </w:rPr>
        <w:t>Разъяснения Президиума ФАС России.</w:t>
      </w:r>
    </w:p>
    <w:p>
      <w:pPr>
        <w:pStyle w:val="NormalWeb"/>
        <w:spacing w:lineRule="auto" w:line="240" w:beforeAutospacing="0" w:before="0" w:after="0"/>
        <w:ind w:firstLine="709"/>
        <w:jc w:val="center"/>
        <w:rPr>
          <w:b/>
          <w:b/>
          <w:sz w:val="32"/>
          <w:szCs w:val="32"/>
        </w:rPr>
      </w:pPr>
      <w:r>
        <w:rPr>
          <w:b/>
          <w:sz w:val="32"/>
          <w:szCs w:val="32"/>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1</w:t>
      </w:r>
    </w:p>
    <w:p>
      <w:pPr>
        <w:pStyle w:val="Normal"/>
        <w:spacing w:lineRule="auto" w:line="240" w:before="0" w:after="0"/>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w:t>
      </w:r>
      <w:r>
        <w:rPr>
          <w:rFonts w:ascii="Times New Roman" w:hAnsi="Times New Roman"/>
          <w:b/>
          <w:sz w:val="28"/>
          <w:szCs w:val="28"/>
          <w:lang w:val="x-none"/>
        </w:rPr>
        <w:t>ОПРЕДЕЛЕНИ</w:t>
      </w:r>
      <w:r>
        <w:rPr>
          <w:rFonts w:ascii="Times New Roman" w:hAnsi="Times New Roman"/>
          <w:b/>
          <w:sz w:val="28"/>
          <w:szCs w:val="28"/>
        </w:rPr>
        <w:t>Е</w:t>
      </w:r>
      <w:r>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pPr>
        <w:pStyle w:val="Normal"/>
        <w:spacing w:lineRule="auto" w:line="240" w:before="0" w:after="0"/>
        <w:jc w:val="center"/>
        <w:rPr>
          <w:rFonts w:ascii="Times New Roman" w:hAnsi="Times New Roman"/>
          <w:b/>
          <w:b/>
          <w:sz w:val="28"/>
          <w:szCs w:val="28"/>
          <w:lang w:val="x-none"/>
        </w:rPr>
      </w:pPr>
      <w:bookmarkStart w:id="0" w:name="bookmark1"/>
      <w:bookmarkEnd w:id="0"/>
      <w:r>
        <w:rPr>
          <w:rFonts w:ascii="Times New Roman" w:hAnsi="Times New Roman"/>
          <w:b/>
          <w:sz w:val="28"/>
          <w:szCs w:val="28"/>
          <w:lang w:val="x-none"/>
        </w:rPr>
        <w:t>Общие положения</w:t>
      </w:r>
    </w:p>
    <w:p>
      <w:pPr>
        <w:pStyle w:val="Normal"/>
        <w:spacing w:lineRule="auto" w:line="240" w:before="0" w:after="0"/>
        <w:ind w:firstLine="709"/>
        <w:jc w:val="both"/>
        <w:rPr>
          <w:rFonts w:ascii="Times New Roman" w:hAnsi="Times New Roman"/>
          <w:b/>
          <w:b/>
          <w:sz w:val="28"/>
          <w:szCs w:val="28"/>
          <w:lang w:val="x-none"/>
        </w:rPr>
      </w:pPr>
      <w:r>
        <w:rPr>
          <w:rFonts w:ascii="Times New Roman" w:hAnsi="Times New Roman"/>
          <w:b/>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Pr>
          <w:rFonts w:ascii="Times New Roman" w:hAnsi="Times New Roman"/>
          <w:sz w:val="28"/>
          <w:szCs w:val="28"/>
        </w:rPr>
        <w:t xml:space="preserve"> в Российской Федерации</w:t>
      </w:r>
      <w:r>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Условия признания доминирующ</w:t>
      </w:r>
      <w:r>
        <w:rPr>
          <w:rFonts w:ascii="Times New Roman" w:hAnsi="Times New Roman"/>
          <w:sz w:val="28"/>
          <w:szCs w:val="28"/>
        </w:rPr>
        <w:t>им</w:t>
      </w:r>
      <w:r>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Pr>
          <w:rFonts w:ascii="Times New Roman" w:hAnsi="Times New Roman"/>
          <w:sz w:val="28"/>
          <w:szCs w:val="28"/>
          <w:lang w:val="x-none"/>
        </w:rPr>
        <w:t xml:space="preserve"> определения монопольно высокой или монопольно низкой цены товара:</w:t>
      </w:r>
    </w:p>
    <w:p>
      <w:pPr>
        <w:pStyle w:val="Normal"/>
        <w:numPr>
          <w:ilvl w:val="0"/>
          <w:numId w:val="2"/>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затратный </w:t>
      </w:r>
      <w:r>
        <w:rPr>
          <w:rFonts w:ascii="Times New Roman" w:hAnsi="Times New Roman"/>
          <w:sz w:val="28"/>
          <w:szCs w:val="28"/>
        </w:rPr>
        <w:t>метод</w:t>
      </w:r>
      <w:r>
        <w:rPr>
          <w:rFonts w:ascii="Times New Roman" w:hAnsi="Times New Roman"/>
          <w:sz w:val="28"/>
          <w:szCs w:val="28"/>
          <w:lang w:val="x-none"/>
        </w:rPr>
        <w:t>;</w:t>
      </w:r>
    </w:p>
    <w:p>
      <w:pPr>
        <w:pStyle w:val="Normal"/>
        <w:numPr>
          <w:ilvl w:val="0"/>
          <w:numId w:val="2"/>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rPr>
        <w:t>метод</w:t>
      </w:r>
      <w:r>
        <w:rPr>
          <w:rFonts w:ascii="Times New Roman" w:hAnsi="Times New Roman"/>
          <w:sz w:val="28"/>
          <w:szCs w:val="28"/>
          <w:lang w:val="x-none"/>
        </w:rPr>
        <w:t xml:space="preserve"> сопоставимых рынков.</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jc w:val="center"/>
        <w:rPr>
          <w:rFonts w:ascii="Times New Roman" w:hAnsi="Times New Roman"/>
          <w:b/>
          <w:b/>
          <w:sz w:val="28"/>
          <w:szCs w:val="28"/>
          <w:lang w:val="x-none"/>
        </w:rPr>
      </w:pPr>
      <w:bookmarkStart w:id="1" w:name="bookmark2"/>
      <w:r>
        <w:rPr>
          <w:rFonts w:ascii="Times New Roman" w:hAnsi="Times New Roman"/>
          <w:b/>
          <w:sz w:val="28"/>
          <w:szCs w:val="28"/>
        </w:rPr>
        <w:t>Метод</w:t>
      </w:r>
      <w:bookmarkEnd w:id="1"/>
      <w:r>
        <w:rPr>
          <w:rFonts w:ascii="Times New Roman" w:hAnsi="Times New Roman"/>
          <w:b/>
          <w:sz w:val="28"/>
          <w:szCs w:val="28"/>
          <w:lang w:val="x-none"/>
        </w:rPr>
        <w:t xml:space="preserve"> сопоставимых рынков</w:t>
      </w:r>
    </w:p>
    <w:p>
      <w:pPr>
        <w:pStyle w:val="Normal"/>
        <w:spacing w:lineRule="auto" w:line="240" w:before="0" w:after="0"/>
        <w:ind w:firstLine="709"/>
        <w:jc w:val="both"/>
        <w:rPr>
          <w:rFonts w:ascii="Times New Roman" w:hAnsi="Times New Roman"/>
          <w:b/>
          <w:b/>
          <w:sz w:val="28"/>
          <w:szCs w:val="28"/>
          <w:lang w:val="x-none"/>
        </w:rPr>
      </w:pPr>
      <w:r>
        <w:rPr>
          <w:rFonts w:ascii="Times New Roman" w:hAnsi="Times New Roman"/>
          <w:b/>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Оценк</w:t>
      </w:r>
      <w:r>
        <w:rPr>
          <w:rFonts w:ascii="Times New Roman" w:hAnsi="Times New Roman"/>
          <w:sz w:val="28"/>
          <w:szCs w:val="28"/>
        </w:rPr>
        <w:t>у</w:t>
      </w:r>
      <w:r>
        <w:rPr>
          <w:rFonts w:ascii="Times New Roman" w:hAnsi="Times New Roman"/>
          <w:sz w:val="28"/>
          <w:szCs w:val="28"/>
          <w:lang w:val="x-none"/>
        </w:rPr>
        <w:t xml:space="preserve"> цен</w:t>
      </w:r>
      <w:r>
        <w:rPr>
          <w:rFonts w:ascii="Times New Roman" w:hAnsi="Times New Roman"/>
          <w:sz w:val="28"/>
          <w:szCs w:val="28"/>
        </w:rPr>
        <w:t>ы</w:t>
      </w:r>
      <w:r>
        <w:rPr>
          <w:rFonts w:ascii="Times New Roman" w:hAnsi="Times New Roman"/>
          <w:sz w:val="28"/>
          <w:szCs w:val="28"/>
          <w:lang w:val="x-none"/>
        </w:rPr>
        <w:t xml:space="preserve"> товара на предмет того является ли она монопольно высокой или низкой необходимо начинать с установления наличия сопоставимых </w:t>
      </w:r>
      <w:r>
        <w:rPr>
          <w:rFonts w:ascii="Times New Roman" w:hAnsi="Times New Roman"/>
          <w:sz w:val="28"/>
          <w:szCs w:val="28"/>
        </w:rPr>
        <w:t xml:space="preserve">конкурентных </w:t>
      </w:r>
      <w:r>
        <w:rPr>
          <w:rFonts w:ascii="Times New Roman" w:hAnsi="Times New Roman"/>
          <w:sz w:val="28"/>
          <w:szCs w:val="28"/>
          <w:lang w:val="x-none"/>
        </w:rPr>
        <w:t xml:space="preserve">рынков (сопоставимого </w:t>
      </w:r>
      <w:r>
        <w:rPr>
          <w:rFonts w:ascii="Times New Roman" w:hAnsi="Times New Roman"/>
          <w:sz w:val="28"/>
          <w:szCs w:val="28"/>
        </w:rPr>
        <w:t xml:space="preserve">конкурентного </w:t>
      </w:r>
      <w:r>
        <w:rPr>
          <w:rFonts w:ascii="Times New Roman" w:hAnsi="Times New Roman"/>
          <w:sz w:val="28"/>
          <w:szCs w:val="28"/>
          <w:lang w:val="x-none"/>
        </w:rPr>
        <w:t>рынка) и установления цены товара на таких сопоставимых рынках.</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Пунктом 2 част</w:t>
      </w:r>
      <w:r>
        <w:rPr>
          <w:rFonts w:ascii="Times New Roman" w:hAnsi="Times New Roman"/>
          <w:sz w:val="28"/>
          <w:szCs w:val="28"/>
        </w:rPr>
        <w:t>и</w:t>
      </w:r>
      <w:r>
        <w:rPr>
          <w:rFonts w:ascii="Times New Roman" w:hAnsi="Times New Roman"/>
          <w:sz w:val="28"/>
          <w:szCs w:val="28"/>
          <w:lang w:val="x-none"/>
        </w:rPr>
        <w:t xml:space="preserve"> 2 статьи 7 Закона о защите конкуренции установлено, что цена не признается монопольно низкой ценой товара в случае, если она не ниже цены, которая сформировалась в условиях конкуренции на сопоставимом товарном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Поэтому</w:t>
      </w:r>
      <w:r>
        <w:rPr>
          <w:rFonts w:ascii="Times New Roman" w:hAnsi="Times New Roman"/>
          <w:sz w:val="28"/>
          <w:szCs w:val="28"/>
        </w:rPr>
        <w:t xml:space="preserve"> </w:t>
      </w:r>
      <w:r>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Pr>
          <w:rFonts w:ascii="Times New Roman" w:hAnsi="Times New Roman"/>
          <w:sz w:val="28"/>
          <w:szCs w:val="28"/>
        </w:rPr>
        <w:t>метода</w:t>
      </w:r>
      <w:r>
        <w:rPr>
          <w:rFonts w:ascii="Times New Roman" w:hAnsi="Times New Roman"/>
          <w:sz w:val="28"/>
          <w:szCs w:val="28"/>
          <w:lang w:val="x-none"/>
        </w:rPr>
        <w:t xml:space="preserve">. </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 применении </w:t>
      </w:r>
      <w:r>
        <w:rPr>
          <w:rFonts w:ascii="Times New Roman" w:hAnsi="Times New Roman"/>
          <w:sz w:val="28"/>
          <w:szCs w:val="28"/>
        </w:rPr>
        <w:t xml:space="preserve">метода </w:t>
      </w:r>
      <w:r>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этом такой товарный рынок должен находиться в состоянии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Pr>
          <w:rFonts w:ascii="Times New Roman" w:hAnsi="Times New Roman"/>
          <w:sz w:val="28"/>
          <w:szCs w:val="28"/>
        </w:rPr>
        <w:t>непосредственно</w:t>
      </w:r>
      <w:r>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rPr>
        <w:t xml:space="preserve">Установление </w:t>
      </w:r>
      <w:r>
        <w:rPr>
          <w:rFonts w:ascii="Times New Roman" w:hAnsi="Times New Roman"/>
          <w:sz w:val="28"/>
          <w:szCs w:val="28"/>
          <w:lang w:val="x-none"/>
        </w:rPr>
        <w:t xml:space="preserve">наличия сопоставимого конкурентного рынка </w:t>
      </w:r>
      <w:r>
        <w:rPr>
          <w:rFonts w:ascii="Times New Roman" w:hAnsi="Times New Roman"/>
          <w:sz w:val="28"/>
          <w:szCs w:val="28"/>
        </w:rPr>
        <w:t xml:space="preserve">осуществляется </w:t>
      </w:r>
      <w:r>
        <w:rPr>
          <w:rFonts w:ascii="Times New Roman" w:hAnsi="Times New Roman"/>
          <w:sz w:val="28"/>
          <w:szCs w:val="28"/>
          <w:lang w:val="x-none"/>
        </w:rPr>
        <w:t>антимонопольн</w:t>
      </w:r>
      <w:r>
        <w:rPr>
          <w:rFonts w:ascii="Times New Roman" w:hAnsi="Times New Roman"/>
          <w:sz w:val="28"/>
          <w:szCs w:val="28"/>
        </w:rPr>
        <w:t>ым</w:t>
      </w:r>
      <w:r>
        <w:rPr>
          <w:rFonts w:ascii="Times New Roman" w:hAnsi="Times New Roman"/>
          <w:sz w:val="28"/>
          <w:szCs w:val="28"/>
          <w:lang w:val="x-none"/>
        </w:rPr>
        <w:t xml:space="preserve"> орган</w:t>
      </w:r>
      <w:r>
        <w:rPr>
          <w:rFonts w:ascii="Times New Roman" w:hAnsi="Times New Roman"/>
          <w:sz w:val="28"/>
          <w:szCs w:val="28"/>
        </w:rPr>
        <w:t>ом при рассмотрении дела о нарушении антимонопольного законодательства с учетом сведений, представленных лицами, участвующими в деле.</w:t>
      </w:r>
    </w:p>
    <w:p>
      <w:pPr>
        <w:pStyle w:val="Normal"/>
        <w:spacing w:lineRule="auto" w:line="240" w:before="0" w:after="0"/>
        <w:ind w:firstLine="709"/>
        <w:jc w:val="both"/>
        <w:rPr/>
      </w:pPr>
      <w:r>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Pr>
          <w:rFonts w:ascii="Times New Roman" w:hAnsi="Times New Roman"/>
          <w:i/>
          <w:sz w:val="28"/>
          <w:szCs w:val="28"/>
        </w:rPr>
        <w:t>,</w:t>
      </w:r>
      <w:r>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Pr>
          <w:rFonts w:ascii="Times New Roman" w:hAnsi="Times New Roman"/>
          <w:i/>
          <w:sz w:val="28"/>
          <w:szCs w:val="28"/>
        </w:rPr>
        <w:t>,</w:t>
      </w:r>
      <w:r>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Pr>
          <w:rFonts w:ascii="Times New Roman" w:hAnsi="Times New Roman"/>
          <w:i/>
          <w:sz w:val="28"/>
          <w:szCs w:val="28"/>
        </w:rPr>
        <w:t xml:space="preserve">использованы </w:t>
      </w:r>
      <w:r>
        <w:rPr>
          <w:rFonts w:ascii="Times New Roman" w:hAnsi="Times New Roman"/>
          <w:i/>
          <w:sz w:val="28"/>
          <w:szCs w:val="28"/>
          <w:lang w:val="x-none"/>
        </w:rPr>
        <w:t xml:space="preserve">одновременного два </w:t>
      </w:r>
      <w:r>
        <w:rPr>
          <w:rFonts w:ascii="Times New Roman" w:hAnsi="Times New Roman"/>
          <w:i/>
          <w:sz w:val="28"/>
          <w:szCs w:val="28"/>
        </w:rPr>
        <w:t>метода</w:t>
      </w:r>
      <w:r>
        <w:rPr>
          <w:rFonts w:ascii="Times New Roman" w:hAnsi="Times New Roman"/>
          <w:i/>
          <w:sz w:val="28"/>
          <w:szCs w:val="28"/>
          <w:lang w:val="x-none"/>
        </w:rPr>
        <w:t xml:space="preserve"> определения монопольно высокой цены, предусмотренных </w:t>
      </w:r>
      <w:hyperlink r:id="rId2">
        <w:r>
          <w:rPr>
            <w:rStyle w:val="Style16"/>
            <w:rFonts w:ascii="Times New Roman" w:hAnsi="Times New Roman"/>
            <w:i/>
            <w:sz w:val="28"/>
            <w:szCs w:val="28"/>
            <w:lang w:val="x-none"/>
          </w:rPr>
          <w:t>статьей 6</w:t>
        </w:r>
      </w:hyperlink>
      <w:r>
        <w:rPr>
          <w:rFonts w:ascii="Times New Roman" w:hAnsi="Times New Roman"/>
          <w:i/>
          <w:sz w:val="28"/>
          <w:szCs w:val="28"/>
          <w:lang w:val="x-none"/>
        </w:rPr>
        <w:t xml:space="preserve"> Закона о защите конкуренции.</w:t>
      </w:r>
    </w:p>
    <w:p>
      <w:pPr>
        <w:pStyle w:val="Normal"/>
        <w:spacing w:lineRule="auto" w:line="240" w:before="0" w:after="0"/>
        <w:ind w:firstLine="709"/>
        <w:jc w:val="both"/>
        <w:rPr>
          <w:rFonts w:ascii="Times New Roman" w:hAnsi="Times New Roman"/>
          <w:i/>
          <w:i/>
          <w:sz w:val="28"/>
          <w:szCs w:val="28"/>
          <w:lang w:val="x-none"/>
        </w:rPr>
      </w:pPr>
      <w:r>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pPr>
        <w:pStyle w:val="Normal"/>
        <w:spacing w:lineRule="auto" w:line="240" w:before="0" w:after="0"/>
        <w:ind w:firstLine="709"/>
        <w:jc w:val="both"/>
        <w:rPr>
          <w:rFonts w:ascii="Times New Roman" w:hAnsi="Times New Roman"/>
          <w:i/>
          <w:i/>
          <w:sz w:val="28"/>
          <w:szCs w:val="28"/>
          <w:lang w:val="x-none"/>
        </w:rPr>
      </w:pPr>
      <w:r>
        <w:rPr>
          <w:rFonts w:ascii="Times New Roman" w:hAnsi="Times New Roman"/>
          <w:i/>
          <w:sz w:val="28"/>
          <w:szCs w:val="28"/>
          <w:lang w:val="x-none"/>
        </w:rPr>
      </w:r>
    </w:p>
    <w:p>
      <w:pPr>
        <w:pStyle w:val="Normal"/>
        <w:spacing w:lineRule="auto" w:line="240" w:before="0" w:after="0"/>
        <w:jc w:val="center"/>
        <w:rPr>
          <w:rFonts w:ascii="Times New Roman" w:hAnsi="Times New Roman"/>
          <w:b/>
          <w:b/>
          <w:sz w:val="28"/>
          <w:szCs w:val="28"/>
          <w:lang w:val="x-none"/>
        </w:rPr>
      </w:pPr>
      <w:bookmarkStart w:id="2" w:name="bookmark3"/>
      <w:r>
        <w:rPr>
          <w:rFonts w:ascii="Times New Roman" w:hAnsi="Times New Roman"/>
          <w:b/>
          <w:sz w:val="28"/>
          <w:szCs w:val="28"/>
          <w:lang w:val="x-none"/>
        </w:rPr>
        <w:t xml:space="preserve">Затратный </w:t>
      </w:r>
      <w:bookmarkEnd w:id="2"/>
      <w:r>
        <w:rPr>
          <w:rFonts w:ascii="Times New Roman" w:hAnsi="Times New Roman"/>
          <w:b/>
          <w:sz w:val="28"/>
          <w:szCs w:val="28"/>
        </w:rPr>
        <w:t>метод</w:t>
      </w:r>
    </w:p>
    <w:p>
      <w:pPr>
        <w:pStyle w:val="Normal"/>
        <w:spacing w:lineRule="auto" w:line="240" w:before="0" w:after="0"/>
        <w:ind w:firstLine="709"/>
        <w:jc w:val="both"/>
        <w:rPr>
          <w:rFonts w:ascii="Times New Roman" w:hAnsi="Times New Roman"/>
          <w:b/>
          <w:b/>
          <w:sz w:val="28"/>
          <w:szCs w:val="28"/>
          <w:lang w:val="x-none"/>
        </w:rPr>
      </w:pPr>
      <w:r>
        <w:rPr>
          <w:rFonts w:ascii="Times New Roman" w:hAnsi="Times New Roman"/>
          <w:b/>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использовании затратного</w:t>
      </w:r>
      <w:r>
        <w:rPr>
          <w:rFonts w:ascii="Times New Roman" w:hAnsi="Times New Roman"/>
          <w:sz w:val="28"/>
          <w:szCs w:val="28"/>
        </w:rPr>
        <w:t xml:space="preserve"> метода</w:t>
      </w:r>
      <w:r>
        <w:rPr>
          <w:rFonts w:ascii="Times New Roman" w:hAnsi="Times New Roman"/>
          <w:sz w:val="28"/>
          <w:szCs w:val="28"/>
          <w:lang w:val="x-none"/>
        </w:rPr>
        <w:t xml:space="preserve"> анализу подлежат:</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расходы, необходимые для производства и реализации товара;</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прибыль хозяйствующего субъекта </w:t>
      </w:r>
      <w:r>
        <w:rPr>
          <w:rFonts w:ascii="Times New Roman" w:hAnsi="Times New Roman"/>
          <w:sz w:val="28"/>
          <w:szCs w:val="28"/>
        </w:rPr>
        <w:t>от реализации товара</w:t>
      </w:r>
      <w:r>
        <w:rPr>
          <w:rFonts w:ascii="Times New Roman" w:hAnsi="Times New Roman"/>
          <w:sz w:val="28"/>
          <w:szCs w:val="28"/>
          <w:lang w:val="x-none"/>
        </w:rPr>
        <w:t>;</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цена товара;</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Pr>
          <w:rFonts w:ascii="Times New Roman" w:hAnsi="Times New Roman"/>
          <w:sz w:val="28"/>
          <w:szCs w:val="28"/>
        </w:rPr>
        <w:t xml:space="preserve"> для тех рынков, где уровень рентабельности установлен нормативно</w:t>
      </w:r>
      <w:r>
        <w:rPr>
          <w:rFonts w:ascii="Times New Roman" w:hAnsi="Times New Roman"/>
          <w:sz w:val="28"/>
          <w:szCs w:val="28"/>
          <w:lang w:val="x-none"/>
        </w:rPr>
        <w:t>.</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rPr>
        <w:t xml:space="preserve">В рамках  </w:t>
      </w:r>
      <w:r>
        <w:rPr>
          <w:rFonts w:ascii="Times New Roman" w:hAnsi="Times New Roman"/>
          <w:sz w:val="28"/>
          <w:szCs w:val="28"/>
          <w:lang w:val="x-none"/>
        </w:rPr>
        <w:t>исследовани</w:t>
      </w:r>
      <w:r>
        <w:rPr>
          <w:rFonts w:ascii="Times New Roman" w:hAnsi="Times New Roman"/>
          <w:sz w:val="28"/>
          <w:szCs w:val="28"/>
        </w:rPr>
        <w:t>я</w:t>
      </w:r>
      <w:r>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Pr>
          <w:rFonts w:ascii="Times New Roman" w:hAnsi="Times New Roman"/>
          <w:sz w:val="28"/>
          <w:szCs w:val="28"/>
        </w:rPr>
        <w:t xml:space="preserve">может </w:t>
      </w:r>
      <w:r>
        <w:rPr>
          <w:rFonts w:ascii="Times New Roman" w:hAnsi="Times New Roman"/>
          <w:sz w:val="28"/>
          <w:szCs w:val="28"/>
          <w:lang w:val="x-none"/>
        </w:rPr>
        <w:t>оцен</w:t>
      </w:r>
      <w:r>
        <w:rPr>
          <w:rFonts w:ascii="Times New Roman" w:hAnsi="Times New Roman"/>
          <w:sz w:val="28"/>
          <w:szCs w:val="28"/>
        </w:rPr>
        <w:t>ивать</w:t>
      </w:r>
      <w:r>
        <w:rPr>
          <w:rFonts w:ascii="Times New Roman" w:hAnsi="Times New Roman"/>
          <w:sz w:val="28"/>
          <w:szCs w:val="28"/>
          <w:lang w:val="x-none"/>
        </w:rPr>
        <w:t xml:space="preserve"> обоснованност</w:t>
      </w:r>
      <w:r>
        <w:rPr>
          <w:rFonts w:ascii="Times New Roman" w:hAnsi="Times New Roman"/>
          <w:sz w:val="28"/>
          <w:szCs w:val="28"/>
        </w:rPr>
        <w:t>ь</w:t>
      </w:r>
      <w:r>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Pr>
          <w:rFonts w:ascii="Times New Roman" w:hAnsi="Times New Roman"/>
          <w:sz w:val="28"/>
          <w:szCs w:val="28"/>
          <w:lang w:val="x-none"/>
        </w:rPr>
        <w:t xml:space="preserve"> фактической выплаты денежных средств и иной формы осуществления.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Следует отметить, что каждый товарный рынок может иметь ряд особенностей, 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Pr>
          <w:rFonts w:ascii="Times New Roman" w:hAnsi="Times New Roman"/>
          <w:sz w:val="28"/>
          <w:szCs w:val="28"/>
        </w:rPr>
        <w:t>яться</w:t>
      </w:r>
      <w:r>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Так, например, </w:t>
      </w:r>
      <w:r>
        <w:rPr>
          <w:rFonts w:ascii="Times New Roman" w:hAnsi="Times New Roman"/>
          <w:sz w:val="28"/>
          <w:szCs w:val="28"/>
        </w:rPr>
        <w:t xml:space="preserve">краткосрочное </w:t>
      </w:r>
      <w:r>
        <w:rPr>
          <w:rFonts w:ascii="Times New Roman" w:hAnsi="Times New Roman"/>
          <w:sz w:val="28"/>
          <w:szCs w:val="28"/>
          <w:lang w:val="x-none"/>
        </w:rPr>
        <w:t>увеличение хозяйствующим субъектом, занимающим доминирующее положение</w:t>
      </w:r>
      <w:r>
        <w:rPr>
          <w:rFonts w:ascii="Times New Roman" w:hAnsi="Times New Roman"/>
          <w:sz w:val="28"/>
          <w:szCs w:val="28"/>
        </w:rPr>
        <w:t>,</w:t>
      </w:r>
      <w:r>
        <w:rPr>
          <w:rFonts w:ascii="Times New Roman" w:hAnsi="Times New Roman"/>
          <w:sz w:val="28"/>
          <w:szCs w:val="28"/>
          <w:lang w:val="x-none"/>
        </w:rPr>
        <w:t xml:space="preserve"> цены на товар</w:t>
      </w:r>
      <w:r>
        <w:rPr>
          <w:rFonts w:ascii="Times New Roman" w:hAnsi="Times New Roman"/>
          <w:sz w:val="28"/>
          <w:szCs w:val="28"/>
        </w:rPr>
        <w:t>,</w:t>
      </w:r>
      <w:r>
        <w:rPr>
          <w:rFonts w:ascii="Times New Roman" w:hAnsi="Times New Roman"/>
          <w:sz w:val="28"/>
          <w:szCs w:val="28"/>
          <w:lang w:val="x-none"/>
        </w:rPr>
        <w:t xml:space="preserve"> </w:t>
      </w:r>
      <w:r>
        <w:rPr>
          <w:rFonts w:ascii="Times New Roman" w:hAnsi="Times New Roman"/>
          <w:sz w:val="28"/>
          <w:szCs w:val="28"/>
        </w:rPr>
        <w:t xml:space="preserve">обусловленное </w:t>
      </w:r>
      <w:r>
        <w:rPr>
          <w:rFonts w:ascii="Times New Roman" w:hAnsi="Times New Roman"/>
          <w:sz w:val="28"/>
          <w:szCs w:val="28"/>
          <w:lang w:val="x-none"/>
        </w:rPr>
        <w:t>резк</w:t>
      </w:r>
      <w:r>
        <w:rPr>
          <w:rFonts w:ascii="Times New Roman" w:hAnsi="Times New Roman"/>
          <w:sz w:val="28"/>
          <w:szCs w:val="28"/>
        </w:rPr>
        <w:t>им</w:t>
      </w:r>
      <w:r>
        <w:rPr>
          <w:rFonts w:ascii="Times New Roman" w:hAnsi="Times New Roman"/>
          <w:sz w:val="28"/>
          <w:szCs w:val="28"/>
          <w:lang w:val="x-none"/>
        </w:rPr>
        <w:t xml:space="preserve"> увеличени</w:t>
      </w:r>
      <w:r>
        <w:rPr>
          <w:rFonts w:ascii="Times New Roman" w:hAnsi="Times New Roman"/>
          <w:sz w:val="28"/>
          <w:szCs w:val="28"/>
        </w:rPr>
        <w:t>ем</w:t>
      </w:r>
      <w:r>
        <w:rPr>
          <w:rFonts w:ascii="Times New Roman" w:hAnsi="Times New Roman"/>
          <w:sz w:val="28"/>
          <w:szCs w:val="28"/>
          <w:lang w:val="x-none"/>
        </w:rPr>
        <w:t xml:space="preserve"> спроса на такой товар</w:t>
      </w:r>
      <w:r>
        <w:rPr>
          <w:rFonts w:ascii="Times New Roman" w:hAnsi="Times New Roman"/>
          <w:sz w:val="28"/>
          <w:szCs w:val="28"/>
        </w:rPr>
        <w:t>,</w:t>
      </w:r>
      <w:r>
        <w:rPr>
          <w:rFonts w:ascii="Times New Roman" w:hAnsi="Times New Roman"/>
          <w:sz w:val="28"/>
          <w:szCs w:val="28"/>
          <w:lang w:val="x-none"/>
        </w:rPr>
        <w:t xml:space="preserve"> не может быть квалифицировано как </w:t>
      </w:r>
      <w:r>
        <w:rPr>
          <w:rFonts w:ascii="Times New Roman" w:hAnsi="Times New Roman"/>
          <w:sz w:val="28"/>
          <w:szCs w:val="28"/>
        </w:rPr>
        <w:t xml:space="preserve">установление </w:t>
      </w:r>
      <w:r>
        <w:rPr>
          <w:rFonts w:ascii="Times New Roman" w:hAnsi="Times New Roman"/>
          <w:sz w:val="28"/>
          <w:szCs w:val="28"/>
          <w:lang w:val="x-none"/>
        </w:rPr>
        <w:t>монопольно высок</w:t>
      </w:r>
      <w:r>
        <w:rPr>
          <w:rFonts w:ascii="Times New Roman" w:hAnsi="Times New Roman"/>
          <w:sz w:val="28"/>
          <w:szCs w:val="28"/>
        </w:rPr>
        <w:t>ой</w:t>
      </w:r>
      <w:r>
        <w:rPr>
          <w:rFonts w:ascii="Times New Roman" w:hAnsi="Times New Roman"/>
          <w:sz w:val="28"/>
          <w:szCs w:val="28"/>
          <w:lang w:val="x-none"/>
        </w:rPr>
        <w:t xml:space="preserve"> цен</w:t>
      </w:r>
      <w:r>
        <w:rPr>
          <w:rFonts w:ascii="Times New Roman" w:hAnsi="Times New Roman"/>
          <w:sz w:val="28"/>
          <w:szCs w:val="28"/>
        </w:rPr>
        <w:t>ы,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Pr>
          <w:rFonts w:ascii="Times New Roman" w:hAnsi="Times New Roman"/>
          <w:sz w:val="28"/>
          <w:szCs w:val="28"/>
        </w:rPr>
        <w:t>оказывать</w:t>
      </w:r>
      <w:r>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Pr>
          <w:rFonts w:ascii="Times New Roman" w:hAnsi="Times New Roman"/>
          <w:sz w:val="28"/>
          <w:szCs w:val="28"/>
        </w:rPr>
        <w:t>;</w:t>
      </w:r>
      <w:r>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В каждом конкретном случае </w:t>
      </w:r>
      <w:r>
        <w:rPr>
          <w:rFonts w:ascii="Times New Roman" w:hAnsi="Times New Roman"/>
          <w:sz w:val="28"/>
          <w:szCs w:val="28"/>
        </w:rPr>
        <w:t xml:space="preserve">антимонопольный орган исследует </w:t>
      </w:r>
      <w:r>
        <w:rPr>
          <w:rFonts w:ascii="Times New Roman" w:hAnsi="Times New Roman"/>
          <w:sz w:val="28"/>
          <w:szCs w:val="28"/>
          <w:lang w:val="x-none"/>
        </w:rPr>
        <w:t>перечень затрат хозяйствующего субъекта</w:t>
      </w:r>
      <w:r>
        <w:rPr>
          <w:rFonts w:ascii="Times New Roman" w:hAnsi="Times New Roman"/>
          <w:sz w:val="28"/>
          <w:szCs w:val="28"/>
        </w:rPr>
        <w:t xml:space="preserve"> в отношении рассматриваемого товара (работы, услуги)</w:t>
      </w:r>
      <w:r>
        <w:rPr>
          <w:rFonts w:ascii="Times New Roman" w:hAnsi="Times New Roman"/>
          <w:sz w:val="28"/>
          <w:szCs w:val="28"/>
          <w:lang w:val="x-none"/>
        </w:rPr>
        <w:t xml:space="preserve">, в том числе амортизационные </w:t>
      </w:r>
      <w:r>
        <w:rPr>
          <w:rFonts w:ascii="Times New Roman" w:hAnsi="Times New Roman"/>
          <w:sz w:val="28"/>
          <w:szCs w:val="28"/>
        </w:rPr>
        <w:t>отчисления</w:t>
      </w:r>
      <w:r>
        <w:rPr>
          <w:rFonts w:ascii="Times New Roman" w:hAnsi="Times New Roman"/>
          <w:sz w:val="28"/>
          <w:szCs w:val="28"/>
          <w:lang w:val="x-none"/>
        </w:rPr>
        <w:t xml:space="preserve">. Так, например, </w:t>
      </w:r>
      <w:r>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pPr>
        <w:pStyle w:val="Normal"/>
        <w:spacing w:lineRule="auto" w:line="240" w:before="0" w:after="0"/>
        <w:ind w:firstLine="709"/>
        <w:jc w:val="both"/>
        <w:rPr>
          <w:rFonts w:ascii="Times New Roman" w:hAnsi="Times New Roman"/>
          <w:i/>
          <w:i/>
          <w:sz w:val="28"/>
          <w:szCs w:val="28"/>
          <w:lang w:val="x-none"/>
        </w:rPr>
      </w:pPr>
      <w:r>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Pr>
          <w:rFonts w:ascii="Times New Roman" w:hAnsi="Times New Roman"/>
          <w:i/>
          <w:sz w:val="28"/>
          <w:szCs w:val="28"/>
          <w:u w:val="single"/>
          <w:lang w:val="x-none"/>
        </w:rPr>
        <w:t>не связанные</w:t>
      </w:r>
      <w:r>
        <w:rPr>
          <w:rFonts w:ascii="Times New Roman" w:hAnsi="Times New Roman"/>
          <w:i/>
          <w:sz w:val="28"/>
          <w:szCs w:val="28"/>
          <w:lang w:val="x-none"/>
        </w:rPr>
        <w:t xml:space="preserve"> с отгрузкой зерна интервенционного фонда; имеется </w:t>
      </w:r>
      <w:r>
        <w:rPr>
          <w:rFonts w:ascii="Times New Roman" w:hAnsi="Times New Roman"/>
          <w:i/>
          <w:sz w:val="28"/>
          <w:szCs w:val="28"/>
          <w:u w:val="single"/>
          <w:lang w:val="x-none"/>
        </w:rPr>
        <w:t>несоответствие фактических затрат</w:t>
      </w:r>
      <w:r>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Pr>
          <w:rFonts w:ascii="Times New Roman" w:hAnsi="Times New Roman"/>
          <w:i/>
          <w:sz w:val="28"/>
          <w:szCs w:val="28"/>
          <w:u w:val="single"/>
          <w:lang w:val="x-none"/>
        </w:rPr>
        <w:t>несоответствие их данным первичных документов</w:t>
      </w:r>
      <w:r>
        <w:rPr>
          <w:rFonts w:ascii="Times New Roman" w:hAnsi="Times New Roman"/>
          <w:i/>
          <w:sz w:val="28"/>
          <w:szCs w:val="28"/>
          <w:lang w:val="x-none"/>
        </w:rPr>
        <w:t xml:space="preserve"> бухгалтерского учета.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Таким образом, суд применяя на практике затратный </w:t>
      </w:r>
      <w:r>
        <w:rPr>
          <w:rFonts w:ascii="Times New Roman" w:hAnsi="Times New Roman"/>
          <w:sz w:val="28"/>
          <w:szCs w:val="28"/>
        </w:rPr>
        <w:t>метод</w:t>
      </w:r>
      <w:r>
        <w:rPr>
          <w:rFonts w:ascii="Times New Roman" w:hAnsi="Times New Roman"/>
          <w:sz w:val="28"/>
          <w:szCs w:val="28"/>
          <w:lang w:val="x-none"/>
        </w:rPr>
        <w:t xml:space="preserve"> дает оценку обоснованности отнесения затрат на себестоимость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Pr>
          <w:rFonts w:ascii="Times New Roman" w:hAnsi="Times New Roman"/>
          <w:sz w:val="28"/>
          <w:szCs w:val="28"/>
        </w:rPr>
        <w:t xml:space="preserve"> </w:t>
      </w:r>
      <w:r>
        <w:rPr>
          <w:rFonts w:ascii="Times New Roman" w:hAnsi="Times New Roman"/>
          <w:sz w:val="28"/>
          <w:szCs w:val="28"/>
          <w:lang w:val="x-none"/>
        </w:rPr>
        <w:t>(для тех рынков</w:t>
      </w:r>
      <w:r>
        <w:rPr>
          <w:rFonts w:ascii="Times New Roman" w:hAnsi="Times New Roman"/>
          <w:sz w:val="28"/>
          <w:szCs w:val="28"/>
        </w:rPr>
        <w:t>,</w:t>
      </w:r>
      <w:r>
        <w:rPr>
          <w:rFonts w:ascii="Times New Roman" w:hAnsi="Times New Roman"/>
          <w:sz w:val="28"/>
          <w:szCs w:val="28"/>
          <w:lang w:val="x-none"/>
        </w:rPr>
        <w:t xml:space="preserve"> где  уровень рентабельности установлен нормативно).</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Pr>
          <w:rFonts w:ascii="Times New Roman" w:hAnsi="Times New Roman"/>
          <w:i/>
          <w:sz w:val="28"/>
          <w:szCs w:val="28"/>
        </w:rPr>
        <w:t>сился</w:t>
      </w:r>
      <w:r>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Pr>
          <w:rFonts w:ascii="Times New Roman" w:hAnsi="Times New Roman"/>
          <w:i/>
          <w:sz w:val="28"/>
          <w:szCs w:val="28"/>
        </w:rPr>
        <w:t>ими</w:t>
      </w:r>
      <w:r>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Pr>
          <w:rFonts w:ascii="Times New Roman" w:hAnsi="Times New Roman"/>
          <w:i/>
          <w:sz w:val="28"/>
          <w:szCs w:val="28"/>
        </w:rPr>
        <w:t xml:space="preserve"> </w:t>
      </w:r>
      <w:r>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Pr>
          <w:rFonts w:ascii="Times New Roman" w:hAnsi="Times New Roman"/>
          <w:sz w:val="28"/>
          <w:szCs w:val="28"/>
        </w:rPr>
        <w:t xml:space="preserve"> в том числе</w:t>
      </w:r>
      <w:r>
        <w:rPr>
          <w:rFonts w:ascii="Times New Roman" w:hAnsi="Times New Roman"/>
          <w:sz w:val="28"/>
          <w:szCs w:val="28"/>
          <w:lang w:val="x-none"/>
        </w:rPr>
        <w:t>:</w:t>
      </w:r>
    </w:p>
    <w:p>
      <w:pPr>
        <w:pStyle w:val="Normal"/>
        <w:numPr>
          <w:ilvl w:val="1"/>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w:t>
        <w:tab/>
        <w:t>расходы, необходимые для производства и реализации товара, остались неизменными или их изменение не соответствует изменению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w:t>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w:t>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Normal"/>
        <w:numPr>
          <w:ilvl w:val="1"/>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w:t>
        <w:tab/>
        <w:t>расходы, необходимые для производства и реализации товара, существенно снизились;</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w:t>
        <w:tab/>
        <w:t>состав продавцов или покупателей товара обусловливает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w:t>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Pr>
          <w:rFonts w:ascii="Times New Roman" w:hAnsi="Times New Roman"/>
          <w:sz w:val="28"/>
          <w:szCs w:val="28"/>
          <w:lang w:val="x-none"/>
        </w:rPr>
        <w:t>:</w:t>
      </w:r>
    </w:p>
    <w:p>
      <w:pPr>
        <w:pStyle w:val="Normal"/>
        <w:numPr>
          <w:ilvl w:val="2"/>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w:t>
        <w:tab/>
        <w:t>расходы, необходимые для производства и реализации товара, остались неизменными или их изменение не соответствует изменению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w:t>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w:t>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 расходы, необходимые для производства и реализации товара, существенно снизились;</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jc w:val="center"/>
        <w:rPr>
          <w:rFonts w:ascii="Times New Roman" w:hAnsi="Times New Roman"/>
          <w:b/>
          <w:b/>
          <w:sz w:val="28"/>
          <w:szCs w:val="28"/>
          <w:lang w:val="x-none"/>
        </w:rPr>
      </w:pPr>
      <w:r>
        <w:rPr>
          <w:rFonts w:ascii="Times New Roman" w:hAnsi="Times New Roman"/>
          <w:b/>
          <w:sz w:val="28"/>
          <w:szCs w:val="28"/>
          <w:lang w:val="x-none"/>
        </w:rPr>
        <w:t>Исключения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Закон о защите конкуренции не позволяет признать монопольно высокой цену товара в случае: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непр</w:t>
      </w:r>
      <w:r>
        <w:rPr>
          <w:rFonts w:ascii="Times New Roman" w:hAnsi="Times New Roman"/>
          <w:sz w:val="28"/>
          <w:szCs w:val="28"/>
        </w:rPr>
        <w:t>е</w:t>
      </w:r>
      <w:r>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Относительно монопольно низкой цены необходимо отметить, что Закон о защите конкуренции не признает монопольно низкой цену товара в случае, если:</w:t>
      </w:r>
    </w:p>
    <w:p>
      <w:pPr>
        <w:pStyle w:val="Normal"/>
        <w:numPr>
          <w:ilvl w:val="3"/>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numPr>
          <w:ilvl w:val="3"/>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numPr>
          <w:ilvl w:val="3"/>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Pr>
          <w:rFonts w:ascii="Times New Roman" w:hAnsi="Times New Roman"/>
          <w:sz w:val="28"/>
          <w:szCs w:val="28"/>
        </w:rPr>
        <w:t xml:space="preserve"> Закона о защите конкуренции</w:t>
      </w:r>
      <w:r>
        <w:rPr>
          <w:rFonts w:ascii="Times New Roman" w:hAnsi="Times New Roman"/>
          <w:sz w:val="28"/>
          <w:szCs w:val="28"/>
          <w:lang w:val="x-none"/>
        </w:rPr>
        <w:t xml:space="preserve">). </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Pr>
          <w:rFonts w:ascii="Times New Roman" w:hAnsi="Times New Roman"/>
          <w:sz w:val="28"/>
          <w:szCs w:val="28"/>
        </w:rPr>
        <w:t xml:space="preserve">, </w:t>
      </w:r>
      <w:r>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pPr>
        <w:pStyle w:val="Normal"/>
        <w:spacing w:lineRule="auto" w:line="240" w:before="0" w:after="0"/>
        <w:ind w:firstLine="709"/>
        <w:jc w:val="both"/>
        <w:rPr/>
      </w:pPr>
      <w:r>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Pr>
          <w:rFonts w:ascii="Times New Roman" w:hAnsi="Times New Roman"/>
          <w:sz w:val="28"/>
          <w:szCs w:val="28"/>
          <w:vertAlign w:val="superscript"/>
          <w:lang w:val="x-none"/>
        </w:rPr>
        <w:t>1</w:t>
      </w:r>
      <w:r>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Pr>
          <w:rFonts w:ascii="Times New Roman" w:hAnsi="Times New Roman"/>
          <w:sz w:val="28"/>
          <w:szCs w:val="28"/>
        </w:rPr>
        <w:t>,</w:t>
      </w:r>
      <w:r>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rPr/>
        <w:t xml:space="preserve"> </w:t>
      </w:r>
    </w:p>
    <w:p>
      <w:pPr>
        <w:pStyle w:val="Normal"/>
        <w:spacing w:lineRule="auto" w:line="240" w:before="0" w:after="0"/>
        <w:ind w:firstLine="709"/>
        <w:jc w:val="both"/>
        <w:rPr/>
      </w:pPr>
      <w:r>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2</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««ВЕРТИКАЛЬНЫЕ» СОГЛАШЕНИЯ, В ТОМ ЧИСЛЕ ДИЛЕРСКИЕ СОГЛАШЕНИЯ»</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пунктом 19 статьи 4 Федерального закона «О защите конкуренции» (далее – Закон о защите конкуренции) «вертикальное» соглашение – это соглашение между хозяйствующими субъектами, один из которых приобретает товар, а другой предоставляет (продает) товар.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включение в «вертикальное» соглашение, достигнутое между хозяйствующими субъектами, например,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 11 Закона о защите конкуренции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Согласно пункту 2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указанных в «вертикальном» соглашении.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Учитывая, что согласно пункту 18 статьи 4 Закона о защите конкуренции соглашение - это договоренность в письменной форме, содержащаяся в документе или нескольких документах, а также договоренность в устной форме, то запрещенные условия «вертикального» соглашения могут содержаться как в устной, так и в письменной форме.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 в письменной форме,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Федеральным законом от 05.10.2015 № 275-ФЗ исключено из определения «вертикального» соглашения уточнение о том, что агентский договор не является «вертикальным соглашением».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 определения «вертикального» соглашения и не означает, что агентский договор является «вертикальным» соглашением.</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 xml:space="preserve">Согласно </w:t>
      </w:r>
      <w:r>
        <w:rPr>
          <w:rFonts w:ascii="Times New Roman" w:hAnsi="Times New Roman"/>
          <w:sz w:val="28"/>
          <w:szCs w:val="28"/>
          <w:lang w:eastAsia="ru-RU"/>
        </w:rPr>
        <w:t xml:space="preserve">статье </w:t>
      </w:r>
      <w:r>
        <w:rPr>
          <w:rFonts w:ascii="Times New Roman" w:hAnsi="Times New Roman"/>
          <w:sz w:val="28"/>
          <w:szCs w:val="28"/>
        </w:rPr>
        <w:t xml:space="preserve">1005 Гражданского кодекса Российской Федерации агентский договор – это договор, по которому </w:t>
      </w:r>
      <w:r>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Учитывая, что предметом агентского договора является совершение агентом юридических и иных действий в пользу принципала, то указанный договор не может быть отнесен к «вертикальному» соглашению.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eastAsia="ru-RU"/>
        </w:rPr>
        <w:t>При этом, если агент заключает от имени принципала договор поставки товара или договор купли-продажи, то именно договор поставки товара или договор купли-продажи, а не агентский договор, будет являться «вертикальным» соглашением.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Частью 7 статьи 11 Закона о защите конкуренции предусмотрено, что запреты, установленные указанной статьей,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 Вместе с тем, указанная норма не исключает возможность применения в отношении «вертикальных» соглашений иных антимонопольных ограничений.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 субъектом, входящим с ним в одну группу лиц, и аналогичное соглашение с другим хозяйствующим субъектом, не входящим в такую группу лиц, и при этом условия такого «вертикального» соглашения являются для хозяйствующего субъекта, не входящего в группу лиц, дискриминационными, распространяются запреты части 1 статьи 10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применяются антимонопольные требования и запреты, указанные в частях 2 и 4 статьи 11 Закона о защите конкуренции.</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 (пункт 4.2);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pPr>
        <w:pStyle w:val="ConsPlusNormal"/>
        <w:spacing w:lineRule="auto" w:line="240" w:before="0" w:after="0"/>
        <w:ind w:firstLine="709"/>
        <w:jc w:val="both"/>
        <w:rPr/>
      </w:pPr>
      <w:r>
        <w:rP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Кодекса поведения, регулирующего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 разработанный Комитетом автопроизводителей Ассоциации европейского бизнеса и согласованный с ФАС России (далее — Кодекс поведения).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Согласно преамбуле Кодекса поведения,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участникам не следует устанавливать для официальных дилеров фиксированные цены перепродажи на реализуемую автомобильную продукцию, а также стоимость нормо-часа при выполнении негарантийного ремонта. Исключением являются лишь случаи установления максимальных цен перепродажи.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частью 1 статьи 12 Закона о защите конкуренции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требованиям к нему, установленным в главе 54 части второй Гражданского кодекса Российской Федерации, то такое «вертикальное» соглашение может быть признано допустимым.</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3</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pPr>
        <w:pStyle w:val="ConsPlusNormal"/>
        <w:spacing w:lineRule="auto" w:line="240" w:before="0" w:after="0"/>
        <w:ind w:firstLine="709"/>
        <w:jc w:val="both"/>
        <w:rPr/>
      </w:pPr>
      <w:r>
        <w:rPr/>
      </w:r>
    </w:p>
    <w:p>
      <w:pPr>
        <w:pStyle w:val="ConsPlusNormal"/>
        <w:spacing w:lineRule="auto" w:line="240" w:before="0" w:after="0"/>
        <w:ind w:firstLine="709"/>
        <w:jc w:val="both"/>
        <w:rPr/>
      </w:pPr>
      <w:r>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pPr>
        <w:pStyle w:val="ConsPlusNormal"/>
        <w:spacing w:lineRule="auto" w:line="240" w:before="0" w:after="0"/>
        <w:ind w:firstLine="709"/>
        <w:jc w:val="both"/>
        <w:rPr/>
      </w:pPr>
      <w:r>
        <w:rPr/>
      </w:r>
    </w:p>
    <w:p>
      <w:pPr>
        <w:pStyle w:val="ConsPlusNormal"/>
        <w:spacing w:lineRule="auto" w:line="240" w:before="0" w:after="0"/>
        <w:ind w:firstLine="709"/>
        <w:jc w:val="center"/>
        <w:rPr>
          <w:b/>
          <w:b/>
        </w:rPr>
      </w:pPr>
      <w:r>
        <w:rPr>
          <w:b/>
        </w:rPr>
        <w:t>Недопустимые соглашения</w:t>
      </w:r>
    </w:p>
    <w:p>
      <w:pPr>
        <w:pStyle w:val="ConsPlusNormal"/>
        <w:spacing w:lineRule="auto" w:line="240" w:before="0" w:after="0"/>
        <w:ind w:firstLine="709"/>
        <w:jc w:val="both"/>
        <w:rPr/>
      </w:pPr>
      <w:r>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pPr>
        <w:pStyle w:val="Normal"/>
        <w:numPr>
          <w:ilvl w:val="0"/>
          <w:numId w:val="0"/>
        </w:numPr>
        <w:spacing w:lineRule="auto" w:line="240" w:before="0" w:after="0"/>
        <w:ind w:firstLine="709"/>
        <w:jc w:val="both"/>
        <w:outlineLvl w:val="1"/>
        <w:rPr>
          <w:rFonts w:ascii="Times New Roman" w:hAnsi="Times New Roman"/>
          <w:sz w:val="28"/>
          <w:szCs w:val="28"/>
        </w:rPr>
      </w:pPr>
      <w:r>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pPr>
        <w:pStyle w:val="Normal"/>
        <w:numPr>
          <w:ilvl w:val="0"/>
          <w:numId w:val="0"/>
        </w:numPr>
        <w:spacing w:lineRule="auto" w:line="240" w:before="0" w:after="0"/>
        <w:ind w:firstLine="709"/>
        <w:jc w:val="both"/>
        <w:outlineLvl w:val="1"/>
        <w:rPr>
          <w:rFonts w:ascii="Times New Roman" w:hAnsi="Times New Roman"/>
          <w:sz w:val="28"/>
          <w:szCs w:val="28"/>
        </w:rPr>
      </w:pPr>
      <w:r>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pPr>
        <w:pStyle w:val="Normal"/>
        <w:numPr>
          <w:ilvl w:val="0"/>
          <w:numId w:val="0"/>
        </w:numPr>
        <w:spacing w:lineRule="auto" w:line="240" w:before="0" w:after="0"/>
        <w:ind w:firstLine="709"/>
        <w:jc w:val="both"/>
        <w:outlineLvl w:val="1"/>
        <w:rPr>
          <w:rFonts w:ascii="Times New Roman" w:hAnsi="Times New Roman"/>
          <w:sz w:val="28"/>
          <w:szCs w:val="28"/>
        </w:rPr>
      </w:pPr>
      <w:r>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 xml:space="preserve">Так, </w:t>
      </w:r>
      <w:bookmarkStart w:id="3" w:name="Par0"/>
      <w:bookmarkEnd w:id="3"/>
      <w:r>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 установлению или поддержанию цен (тарифов), скидок, надбавок (доплат) и (или) наценок;</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 повышению, снижению или поддержанию цен на торгах;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4) сокращению или прекращению производства товаров;</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pPr>
        <w:pStyle w:val="Normal"/>
        <w:spacing w:lineRule="auto" w:line="240" w:before="0" w:after="0"/>
        <w:ind w:firstLine="709"/>
        <w:jc w:val="both"/>
        <w:rPr>
          <w:rFonts w:ascii="Times New Roman" w:hAnsi="Times New Roman"/>
          <w:sz w:val="28"/>
          <w:szCs w:val="28"/>
          <w:lang w:eastAsia="ru-RU"/>
        </w:rPr>
      </w:pPr>
      <w:bookmarkStart w:id="4" w:name="Par6"/>
      <w:bookmarkEnd w:id="4"/>
      <w:r>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pPr>
        <w:pStyle w:val="Normal"/>
        <w:spacing w:lineRule="auto" w:line="240" w:before="0" w:after="0"/>
        <w:ind w:firstLine="709"/>
        <w:jc w:val="both"/>
        <w:rPr>
          <w:rFonts w:ascii="Times New Roman" w:hAnsi="Times New Roman"/>
          <w:sz w:val="28"/>
          <w:szCs w:val="28"/>
          <w:lang w:eastAsia="ru-RU"/>
        </w:rPr>
      </w:pPr>
      <w:bookmarkStart w:id="5" w:name="Par9"/>
      <w:bookmarkEnd w:id="5"/>
      <w:r>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pPr>
        <w:pStyle w:val="Normal"/>
        <w:spacing w:lineRule="auto" w:line="240" w:before="0" w:after="0"/>
        <w:ind w:firstLine="709"/>
        <w:jc w:val="both"/>
        <w:rPr>
          <w:rFonts w:ascii="Times New Roman" w:hAnsi="Times New Roman"/>
          <w:sz w:val="28"/>
          <w:szCs w:val="28"/>
          <w:lang w:eastAsia="ru-RU"/>
        </w:rPr>
      </w:pPr>
      <w:bookmarkStart w:id="6" w:name="Par10"/>
      <w:bookmarkEnd w:id="6"/>
      <w:r>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4) об установлении условий членства (участия) в профессиональных и иных объединениях.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rPr>
        <w:t>Недопустимые согласованные действия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Запреты на согласованные действия предусмотрены в статье 11¹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установлению или поддержанию цен (тарифов), скидок, надбавок (доплат) и (или) наценок;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повышению, снижению или поддержанию цен на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сокращению или прекращению производства товаров;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pPr>
        <w:pStyle w:val="Normal"/>
        <w:spacing w:lineRule="auto" w:line="240" w:before="0" w:after="0"/>
        <w:ind w:firstLine="709"/>
        <w:jc w:val="both"/>
        <w:rPr>
          <w:rFonts w:ascii="Times New Roman" w:hAnsi="Times New Roman"/>
          <w:sz w:val="28"/>
          <w:szCs w:val="28"/>
        </w:rPr>
      </w:pPr>
      <w:bookmarkStart w:id="7" w:name="Par7"/>
      <w:bookmarkEnd w:id="7"/>
      <w:r>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ConsPlusNormal"/>
        <w:spacing w:lineRule="auto" w:line="240" w:before="0" w:after="0"/>
        <w:ind w:firstLine="709"/>
        <w:jc w:val="center"/>
        <w:rPr>
          <w:b/>
          <w:b/>
        </w:rPr>
      </w:pPr>
      <w:r>
        <w:rPr>
          <w:b/>
        </w:rPr>
        <w:t>Особенности доказывания недопустимых соглашений</w:t>
      </w:r>
    </w:p>
    <w:p>
      <w:pPr>
        <w:pStyle w:val="ConsPlusNormal"/>
        <w:spacing w:lineRule="auto" w:line="240" w:before="0" w:after="0"/>
        <w:ind w:firstLine="709"/>
        <w:jc w:val="center"/>
        <w:rPr>
          <w:b/>
          <w:b/>
        </w:rPr>
      </w:pPr>
      <w:r>
        <w:rPr>
          <w:b/>
        </w:rPr>
        <w:t>(в том числе картелей) и согласованных действий на товарных рынках, в том числе на торгах</w:t>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практике к таким косвенным доказательствам обычно относятся: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использование участниками торгов одного и того же </w:t>
      </w:r>
      <w:r>
        <w:rPr>
          <w:rFonts w:ascii="Times New Roman" w:hAnsi="Times New Roman"/>
          <w:sz w:val="28"/>
          <w:szCs w:val="28"/>
          <w:lang w:val="en-US"/>
        </w:rPr>
        <w:t>IP</w:t>
      </w:r>
      <w:r>
        <w:rPr>
          <w:rFonts w:ascii="Times New Roman" w:hAnsi="Times New Roman"/>
          <w:sz w:val="28"/>
          <w:szCs w:val="28"/>
        </w:rPr>
        <w:t>-адреса (учетной записи) при подаче заявок и участии в электронных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фактическое расположение участников соглашения по одному и тому же адресу;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оформление сертификатов электронных цифровых подписей на одно и то же физическое лицо;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r>
    </w:p>
    <w:p>
      <w:pPr>
        <w:pStyle w:val="ConsPlusNormal"/>
        <w:spacing w:lineRule="auto" w:line="240" w:before="0" w:after="0"/>
        <w:ind w:firstLine="709"/>
        <w:jc w:val="both"/>
        <w:rPr>
          <w:i/>
          <w:i/>
        </w:rPr>
      </w:pPr>
      <w:r>
        <w:rPr>
          <w:i/>
        </w:rPr>
        <w:t>Проведение анализа состояния конкуренции на товарном рынке.</w:t>
      </w:r>
    </w:p>
    <w:p>
      <w:pPr>
        <w:pStyle w:val="ConsPlusNormal"/>
        <w:spacing w:lineRule="auto" w:line="240" w:before="0" w:after="0"/>
        <w:ind w:firstLine="709"/>
        <w:jc w:val="both"/>
        <w:rPr/>
      </w:pPr>
      <w:r>
        <w:rPr/>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pPr>
        <w:pStyle w:val="ConsPlusNormal"/>
        <w:spacing w:lineRule="auto" w:line="240" w:before="0" w:after="0"/>
        <w:ind w:firstLine="709"/>
        <w:jc w:val="both"/>
        <w:rPr/>
      </w:pPr>
      <w:r>
        <w:rPr/>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pPr>
        <w:pStyle w:val="ConsPlusNormal"/>
        <w:spacing w:lineRule="auto" w:line="240" w:before="0" w:after="0"/>
        <w:ind w:firstLine="709"/>
        <w:jc w:val="both"/>
        <w:rPr/>
      </w:pPr>
      <w:r>
        <w:rPr/>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pPr>
        <w:pStyle w:val="ConsPlusNormal"/>
        <w:spacing w:lineRule="auto" w:line="240" w:before="0" w:after="0"/>
        <w:ind w:firstLine="709"/>
        <w:jc w:val="both"/>
        <w:rPr/>
      </w:pPr>
      <w:r>
        <w:rPr/>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pPr>
        <w:pStyle w:val="ConsPlusNormal"/>
        <w:spacing w:lineRule="auto" w:line="240" w:before="0" w:after="0"/>
        <w:ind w:firstLine="709"/>
        <w:jc w:val="both"/>
        <w:rPr/>
      </w:pPr>
      <w:r>
        <w:rPr/>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pPr>
        <w:pStyle w:val="ConsPlusNormal"/>
        <w:spacing w:lineRule="auto" w:line="240" w:before="0" w:after="0"/>
        <w:ind w:firstLine="709"/>
        <w:jc w:val="both"/>
        <w:rPr/>
      </w:pPr>
      <w:r>
        <w:rPr/>
        <w:t>Согласно части 4 статьи 45</w:t>
      </w:r>
      <w:r>
        <w:rPr>
          <w:vertAlign w:val="superscript"/>
        </w:rPr>
        <w:t xml:space="preserve">1 </w:t>
      </w:r>
      <w:r>
        <w:rPr/>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pPr>
        <w:pStyle w:val="ConsPlusNormal"/>
        <w:spacing w:lineRule="auto" w:line="240" w:before="0" w:after="0"/>
        <w:ind w:firstLine="709"/>
        <w:jc w:val="both"/>
        <w:rPr/>
      </w:pPr>
      <w:r>
        <w:rPr/>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pPr>
        <w:pStyle w:val="ConsPlusNormal"/>
        <w:spacing w:lineRule="auto" w:line="240" w:before="0" w:after="0"/>
        <w:ind w:firstLine="709"/>
        <w:jc w:val="both"/>
        <w:rPr/>
      </w:pPr>
      <w:r>
        <w:rPr/>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Истребование документов и информации при проведении проверки.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4</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«СОГЛАШЕНИЯ В ИННОВАЦИОННЫХ И ВЫСОКОТЕХНОЛОГИЧНЫХ СФЕРАХ ДЕЯТЕЛЬНОСТИ»</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ConsPlusNormal"/>
        <w:spacing w:lineRule="auto" w:line="240" w:before="0" w:after="0"/>
        <w:ind w:firstLine="709"/>
        <w:jc w:val="both"/>
        <w:rPr/>
      </w:pPr>
      <w:r>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pPr>
        <w:pStyle w:val="ConsPlusNormal"/>
        <w:spacing w:lineRule="auto" w:line="240" w:before="0" w:after="0"/>
        <w:ind w:firstLine="539"/>
        <w:jc w:val="both"/>
        <w:rPr>
          <w:sz w:val="16"/>
          <w:szCs w:val="16"/>
        </w:rPr>
      </w:pPr>
      <w:r>
        <w:rPr>
          <w:sz w:val="16"/>
          <w:szCs w:val="16"/>
        </w:rPr>
      </w:r>
    </w:p>
    <w:p>
      <w:pPr>
        <w:pStyle w:val="ConsPlusNormal"/>
        <w:spacing w:lineRule="auto" w:line="240" w:before="0" w:after="0"/>
        <w:ind w:firstLine="539"/>
        <w:jc w:val="center"/>
        <w:rPr>
          <w:b/>
          <w:b/>
        </w:rPr>
      </w:pPr>
      <w:r>
        <w:rPr>
          <w:b/>
        </w:rPr>
        <w:t>Основные положения</w:t>
      </w:r>
    </w:p>
    <w:p>
      <w:pPr>
        <w:pStyle w:val="ConsPlusNormal"/>
        <w:spacing w:lineRule="auto" w:line="240" w:before="0" w:after="0"/>
        <w:ind w:firstLine="539"/>
        <w:jc w:val="center"/>
        <w:rPr>
          <w:sz w:val="16"/>
          <w:szCs w:val="16"/>
        </w:rPr>
      </w:pPr>
      <w:r>
        <w:rPr>
          <w:sz w:val="16"/>
          <w:szCs w:val="16"/>
        </w:rPr>
      </w:r>
    </w:p>
    <w:p>
      <w:pPr>
        <w:pStyle w:val="ConsPlusNormal"/>
        <w:spacing w:lineRule="auto" w:line="240" w:before="0" w:after="0"/>
        <w:ind w:firstLine="709"/>
        <w:jc w:val="both"/>
        <w:rPr/>
      </w:pPr>
      <w:r>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pPr>
        <w:pStyle w:val="ConsPlusNormal"/>
        <w:spacing w:lineRule="auto" w:line="240" w:before="0" w:after="0"/>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pPr>
        <w:pStyle w:val="ConsPlusNormal"/>
        <w:spacing w:lineRule="auto" w:line="240" w:before="0" w:after="0"/>
        <w:ind w:firstLine="709"/>
        <w:jc w:val="both"/>
        <w:rPr/>
      </w:pPr>
      <w:r>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pPr>
        <w:pStyle w:val="ConsPlusNormal"/>
        <w:spacing w:lineRule="auto" w:line="240" w:before="0" w:after="0"/>
        <w:ind w:firstLine="709"/>
        <w:jc w:val="both"/>
        <w:rPr/>
      </w:pPr>
      <w:r>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3">
        <w:r>
          <w:rPr>
            <w:rStyle w:val="Style16"/>
          </w:rPr>
          <w:t>частью 1 статьи 11</w:t>
        </w:r>
      </w:hyperlink>
      <w:r>
        <w:rPr/>
        <w:t xml:space="preserve"> указанного Закона.</w:t>
      </w:r>
    </w:p>
    <w:p>
      <w:pPr>
        <w:pStyle w:val="ConsPlusNormal"/>
        <w:spacing w:lineRule="auto" w:line="240" w:before="0" w:after="0"/>
        <w:ind w:firstLine="709"/>
        <w:jc w:val="both"/>
        <w:rPr>
          <w:sz w:val="16"/>
          <w:szCs w:val="16"/>
        </w:rPr>
      </w:pPr>
      <w:r>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pPr>
        <w:pStyle w:val="ConsPlusNormal"/>
        <w:spacing w:lineRule="auto" w:line="240" w:before="0" w:after="0"/>
        <w:ind w:firstLine="539"/>
        <w:jc w:val="center"/>
        <w:rPr>
          <w:b/>
          <w:b/>
        </w:rPr>
      </w:pPr>
      <w:r>
        <w:rPr>
          <w:b/>
        </w:rPr>
        <w:t>Общие исключения</w:t>
      </w:r>
    </w:p>
    <w:p>
      <w:pPr>
        <w:pStyle w:val="ConsPlusNormal"/>
        <w:spacing w:lineRule="auto" w:line="240" w:before="0" w:after="0"/>
        <w:ind w:firstLine="539"/>
        <w:jc w:val="center"/>
        <w:rPr>
          <w:sz w:val="16"/>
          <w:szCs w:val="16"/>
        </w:rPr>
      </w:pPr>
      <w:r>
        <w:rPr>
          <w:sz w:val="16"/>
          <w:szCs w:val="16"/>
        </w:rPr>
      </w:r>
    </w:p>
    <w:p>
      <w:pPr>
        <w:pStyle w:val="ConsPlusNormal"/>
        <w:spacing w:lineRule="auto" w:line="240" w:before="0" w:after="0"/>
        <w:ind w:firstLine="709"/>
        <w:jc w:val="both"/>
        <w:rPr/>
      </w:pPr>
      <w:r>
        <w:rPr/>
        <w:t>Согласно части 1 статьи 13</w:t>
      </w:r>
      <w:hyperlink r:id="rId4">
        <w:r>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hyperlink>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не должны создавать возможность для отдельных лиц устранить конкуренцию на соответствующем товарном рынке;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 также если результатом действий (соглашений, сделок) является или может являться: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pPr>
        <w:pStyle w:val="ConsPlusNormal"/>
        <w:spacing w:lineRule="auto" w:line="240" w:before="0" w:after="0"/>
        <w:ind w:firstLine="709"/>
        <w:jc w:val="both"/>
        <w:rPr/>
      </w:pPr>
      <w:r>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5">
        <w:r>
          <w:rPr>
            <w:rStyle w:val="Style16"/>
          </w:rPr>
          <w:t>частями 2</w:t>
        </w:r>
      </w:hyperlink>
      <w:r>
        <w:rPr/>
        <w:t xml:space="preserve"> - </w:t>
      </w:r>
      <w:hyperlink r:id="rId6">
        <w:r>
          <w:rPr>
            <w:rStyle w:val="Style16"/>
          </w:rPr>
          <w:t>4</w:t>
        </w:r>
      </w:hyperlink>
      <w:r>
        <w:rPr/>
        <w:t xml:space="preserve"> указанной статьи, могут быть признаны допустимыми в соответствии со </w:t>
      </w:r>
      <w:hyperlink r:id="rId7">
        <w:r>
          <w:rPr>
            <w:rStyle w:val="Style16"/>
          </w:rPr>
          <w:t>статьей 12</w:t>
        </w:r>
      </w:hyperlink>
      <w:r>
        <w:rPr/>
        <w:t xml:space="preserve"> или с </w:t>
      </w:r>
      <w:hyperlink r:id="rId8">
        <w:r>
          <w:rPr>
            <w:rStyle w:val="Style16"/>
          </w:rPr>
          <w:t>частью 1 статьи 13</w:t>
        </w:r>
      </w:hyperlink>
      <w:r>
        <w:rPr/>
        <w:t xml:space="preserve"> Закона о защите конкуренции.</w:t>
      </w:r>
    </w:p>
    <w:p>
      <w:pPr>
        <w:pStyle w:val="ConsPlusNormal"/>
        <w:spacing w:lineRule="auto" w:line="240" w:before="0" w:after="0"/>
        <w:ind w:firstLine="709"/>
        <w:jc w:val="both"/>
        <w:rPr/>
      </w:pPr>
      <w:r>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pPr>
        <w:pStyle w:val="ConsPlusNormal"/>
        <w:spacing w:lineRule="auto" w:line="240" w:before="0" w:after="0"/>
        <w:ind w:firstLine="709"/>
        <w:jc w:val="both"/>
        <w:rPr/>
      </w:pPr>
      <w:r>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pPr>
        <w:pStyle w:val="ConsPlusNormal"/>
        <w:spacing w:lineRule="auto" w:line="240" w:before="0" w:after="0"/>
        <w:ind w:firstLine="709"/>
        <w:jc w:val="both"/>
        <w:rPr/>
      </w:pPr>
      <w:r>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pPr>
        <w:pStyle w:val="ConsPlusNormal"/>
        <w:spacing w:lineRule="auto" w:line="240" w:before="0" w:after="0"/>
        <w:ind w:firstLine="709"/>
        <w:jc w:val="both"/>
        <w:rPr/>
      </w:pPr>
      <w:r>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pPr>
        <w:pStyle w:val="ConsPlusNormal"/>
        <w:spacing w:lineRule="auto" w:line="240" w:before="0" w:after="0"/>
        <w:ind w:firstLine="709"/>
        <w:jc w:val="both"/>
        <w:rPr/>
      </w:pPr>
      <w:r>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pPr>
        <w:pStyle w:val="ConsPlusNormal"/>
        <w:spacing w:lineRule="auto" w:line="240" w:before="0" w:after="0"/>
        <w:ind w:firstLine="539"/>
        <w:jc w:val="both"/>
        <w:rPr>
          <w:sz w:val="16"/>
          <w:szCs w:val="16"/>
        </w:rPr>
      </w:pPr>
      <w:r>
        <w:rPr>
          <w:sz w:val="16"/>
          <w:szCs w:val="16"/>
        </w:rPr>
      </w:r>
    </w:p>
    <w:p>
      <w:pPr>
        <w:pStyle w:val="ConsPlusNormal"/>
        <w:spacing w:lineRule="auto" w:line="240" w:before="0" w:after="0"/>
        <w:ind w:firstLine="539"/>
        <w:jc w:val="center"/>
        <w:rPr>
          <w:b/>
          <w:b/>
        </w:rPr>
      </w:pPr>
      <w:r>
        <w:rPr>
          <w:b/>
        </w:rPr>
        <w:t>Специальные исключения</w:t>
      </w:r>
    </w:p>
    <w:p>
      <w:pPr>
        <w:pStyle w:val="ConsPlusNormal"/>
        <w:spacing w:lineRule="auto" w:line="240" w:before="0" w:after="0"/>
        <w:ind w:firstLine="539"/>
        <w:jc w:val="both"/>
        <w:rPr>
          <w:sz w:val="16"/>
          <w:szCs w:val="16"/>
        </w:rPr>
      </w:pPr>
      <w:r>
        <w:rPr>
          <w:sz w:val="16"/>
          <w:szCs w:val="16"/>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pPr>
        <w:pStyle w:val="ConsPlusNormal"/>
        <w:spacing w:lineRule="auto" w:line="240" w:before="0" w:after="0"/>
        <w:ind w:firstLine="709"/>
        <w:jc w:val="both"/>
        <w:rPr/>
      </w:pPr>
      <w:r>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5</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«ОЦЕНКА ДОПУСТИМОСТИ СПОСОБОВ ВЕДЕНИЯ БИЗНЕСА СУБЪЕКТАМИ, ЗАНИМАЮЩИМИ ДОМИНИРУЮЩЕЕ ПОЛОЖЕНИЕ НА РЫНКЕ»</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pPr>
        <w:pStyle w:val="ConsPlusNormal"/>
        <w:spacing w:lineRule="auto" w:line="240" w:before="0" w:after="0"/>
        <w:ind w:firstLine="709"/>
        <w:jc w:val="both"/>
        <w:rPr/>
      </w:pPr>
      <w:r>
        <w:rPr/>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pPr>
        <w:pStyle w:val="ConsPlusNormal"/>
        <w:spacing w:lineRule="auto" w:line="240" w:before="0" w:after="0"/>
        <w:ind w:firstLine="709"/>
        <w:jc w:val="both"/>
        <w:rPr/>
      </w:pPr>
      <w:r>
        <w:rPr/>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9">
        <w:r>
          <w:rPr>
            <w:rStyle w:val="Style16"/>
          </w:rPr>
          <w:t>конкуренции</w:t>
        </w:r>
      </w:hyperlink>
      <w:r>
        <w:rPr/>
        <w:t xml:space="preserve">, а также злоупотребление </w:t>
      </w:r>
      <w:hyperlink r:id="rId10">
        <w:r>
          <w:rPr>
            <w:rStyle w:val="Style16"/>
          </w:rPr>
          <w:t>доминирующим положением</w:t>
        </w:r>
      </w:hyperlink>
      <w:r>
        <w:rPr/>
        <w:t xml:space="preserve"> на рынке. </w:t>
      </w:r>
    </w:p>
    <w:p>
      <w:pPr>
        <w:pStyle w:val="ConsPlusNormal"/>
        <w:spacing w:lineRule="auto" w:line="240" w:before="0" w:after="0"/>
        <w:ind w:firstLine="709"/>
        <w:jc w:val="both"/>
        <w:rPr/>
      </w:pPr>
      <w:hyperlink r:id="rId11">
        <w:r>
          <w:rPr>
            <w:rStyle w:val="Style16"/>
          </w:rPr>
          <w:t>Частью 1 статьи 10</w:t>
        </w:r>
      </w:hyperlink>
      <w:r>
        <w:rPr/>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pPr>
        <w:pStyle w:val="ConsPlusNormal"/>
        <w:spacing w:lineRule="auto" w:line="240" w:before="0" w:after="0"/>
        <w:ind w:firstLine="709"/>
        <w:jc w:val="both"/>
        <w:rPr/>
      </w:pPr>
      <w:r>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2">
        <w:r>
          <w:rPr>
            <w:rStyle w:val="Style16"/>
          </w:rPr>
          <w:t>части 2 статьи 10</w:t>
        </w:r>
      </w:hyperlink>
      <w:r>
        <w:rPr/>
        <w:t xml:space="preserve">, </w:t>
      </w:r>
      <w:hyperlink r:id="rId13">
        <w:r>
          <w:rPr>
            <w:rStyle w:val="Style16"/>
          </w:rPr>
          <w:t>части 1 статьи 13</w:t>
        </w:r>
      </w:hyperlink>
      <w:r>
        <w:rPr/>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pPr>
        <w:pStyle w:val="NormalWeb"/>
        <w:spacing w:lineRule="auto" w:line="240" w:beforeAutospacing="0" w:before="0" w:after="0"/>
        <w:ind w:firstLine="709"/>
        <w:jc w:val="both"/>
        <w:rPr>
          <w:sz w:val="28"/>
          <w:szCs w:val="28"/>
        </w:rPr>
      </w:pPr>
      <w:r>
        <w:rPr>
          <w:sz w:val="28"/>
          <w:szCs w:val="28"/>
        </w:rPr>
        <w:t xml:space="preserve">В мировой практике используются аналогичные принципы, такие как принцип разумности (разумного подхода) и принцип пропорциональности. </w:t>
      </w:r>
    </w:p>
    <w:p>
      <w:pPr>
        <w:pStyle w:val="NormalWeb"/>
        <w:spacing w:lineRule="auto" w:line="240" w:beforeAutospacing="0" w:before="0" w:after="0"/>
        <w:ind w:firstLine="709"/>
        <w:jc w:val="both"/>
        <w:rPr>
          <w:sz w:val="28"/>
          <w:szCs w:val="28"/>
        </w:rPr>
      </w:pPr>
      <w:r>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pPr>
        <w:pStyle w:val="ConsPlusNormal"/>
        <w:spacing w:lineRule="auto" w:line="240" w:before="0" w:after="0"/>
        <w:ind w:firstLine="709"/>
        <w:jc w:val="both"/>
        <w:rPr/>
      </w:pPr>
      <w:r>
        <w:rPr/>
        <w:t xml:space="preserve">Согласно части 1 статьи 13 Закона о защите конкуренции допустимыми могут быть признаны следующие действия, указанные в </w:t>
      </w:r>
      <w:hyperlink r:id="rId14">
        <w:r>
          <w:rPr>
            <w:rStyle w:val="Style16"/>
          </w:rPr>
          <w:t>части 1 статьи</w:t>
        </w:r>
      </w:hyperlink>
      <w:r>
        <w:rPr/>
        <w:t xml:space="preserve"> 10 Закона о защите конкуренции:</w:t>
      </w:r>
    </w:p>
    <w:p>
      <w:pPr>
        <w:pStyle w:val="ConsPlusNormal"/>
        <w:spacing w:lineRule="auto" w:line="240" w:before="0" w:after="0"/>
        <w:ind w:firstLine="709"/>
        <w:jc w:val="both"/>
        <w:rPr/>
      </w:pPr>
      <w:r>
        <w:rPr/>
        <w:t xml:space="preserve">- экономически или технологически не обоснованные сокращение или прекращение производства товара </w:t>
      </w:r>
      <w:hyperlink r:id="rId15">
        <w:r>
          <w:rPr>
            <w:rStyle w:val="Style16"/>
          </w:rPr>
          <w:t>(пункт 4 части 1)</w:t>
        </w:r>
      </w:hyperlink>
      <w:r>
        <w:rPr/>
        <w:t>;</w:t>
      </w:r>
    </w:p>
    <w:p>
      <w:pPr>
        <w:pStyle w:val="ConsPlusNormal"/>
        <w:spacing w:lineRule="auto" w:line="240" w:before="0" w:after="0"/>
        <w:ind w:firstLine="709"/>
        <w:jc w:val="both"/>
        <w:rPr/>
      </w:pPr>
      <w:r>
        <w:rPr/>
        <w:t xml:space="preserve">- создание дискриминационных условий </w:t>
      </w:r>
      <w:hyperlink r:id="rId16">
        <w:r>
          <w:rPr>
            <w:rStyle w:val="Style16"/>
          </w:rPr>
          <w:t>(пункт 8 части 1)</w:t>
        </w:r>
      </w:hyperlink>
      <w:r>
        <w:rPr/>
        <w:t>;</w:t>
      </w:r>
    </w:p>
    <w:p>
      <w:pPr>
        <w:pStyle w:val="ConsPlusNormal"/>
        <w:spacing w:lineRule="auto" w:line="240" w:before="0" w:after="0"/>
        <w:ind w:firstLine="709"/>
        <w:jc w:val="both"/>
        <w:rPr/>
      </w:pPr>
      <w:r>
        <w:rPr/>
        <w:t xml:space="preserve">- создание препятствий доступу на товарный рынок или выходу из товарного рынка </w:t>
      </w:r>
      <w:hyperlink r:id="rId17">
        <w:r>
          <w:rPr>
            <w:rStyle w:val="Style16"/>
          </w:rPr>
          <w:t>(пункт 9 части 1)</w:t>
        </w:r>
      </w:hyperlink>
      <w:r>
        <w:rPr/>
        <w:t>;</w:t>
      </w:r>
    </w:p>
    <w:p>
      <w:pPr>
        <w:pStyle w:val="ConsPlusNormal"/>
        <w:spacing w:lineRule="auto" w:line="240" w:before="0" w:after="0"/>
        <w:ind w:firstLine="709"/>
        <w:jc w:val="both"/>
        <w:rPr/>
      </w:pPr>
      <w:r>
        <w:rPr/>
        <w:t xml:space="preserve">- манипулирование ценами на оптовом и (или) розничных рынках электрической энергии (мощности) </w:t>
      </w:r>
      <w:hyperlink r:id="rId18">
        <w:r>
          <w:rPr>
            <w:rStyle w:val="Style16"/>
          </w:rPr>
          <w:t>(пункт 11 части 1)</w:t>
        </w:r>
      </w:hyperlink>
      <w:r>
        <w:rPr/>
        <w:t>.</w:t>
      </w:r>
    </w:p>
    <w:p>
      <w:pPr>
        <w:pStyle w:val="ConsPlusNormal"/>
        <w:spacing w:lineRule="auto" w:line="240" w:before="0" w:after="0"/>
        <w:ind w:firstLine="709"/>
        <w:jc w:val="both"/>
        <w:rPr/>
      </w:pPr>
      <w:r>
        <w:rPr/>
        <w:t xml:space="preserve">Законом о защите конкуренции предусмотрены условия признания указанных действий допустимыми, а именно: </w:t>
      </w:r>
    </w:p>
    <w:p>
      <w:pPr>
        <w:pStyle w:val="ConsPlusNormal"/>
        <w:spacing w:lineRule="auto" w:line="240" w:before="0" w:after="0"/>
        <w:ind w:firstLine="709"/>
        <w:jc w:val="both"/>
        <w:rPr/>
      </w:pPr>
      <w:r>
        <w:rPr/>
        <w:t xml:space="preserve">1) если такими действиями (бездействием) не создается возможность для отдельных лиц устранить конкуренцию на соответствующем товарном рынке, </w:t>
      </w:r>
    </w:p>
    <w:p>
      <w:pPr>
        <w:pStyle w:val="ConsPlusNormal"/>
        <w:spacing w:lineRule="auto" w:line="240" w:before="0" w:after="0"/>
        <w:ind w:firstLine="709"/>
        <w:jc w:val="both"/>
        <w:rPr/>
      </w:pPr>
      <w:r>
        <w:rPr/>
        <w:t>2) не налагаются на их участников или третьих лиц ограничения, не соответствующие достижению целей таких действий (бездействия), если результатом таких действий является или может являться:</w:t>
      </w:r>
    </w:p>
    <w:p>
      <w:pPr>
        <w:pStyle w:val="ConsPlusNormal"/>
        <w:spacing w:lineRule="auto" w:line="240" w:before="0" w:after="0"/>
        <w:ind w:firstLine="709"/>
        <w:jc w:val="both"/>
        <w:rPr/>
      </w:pPr>
      <w:r>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pPr>
        <w:pStyle w:val="ConsPlusNormal"/>
        <w:spacing w:lineRule="auto" w:line="240" w:before="0" w:after="0"/>
        <w:ind w:firstLine="709"/>
        <w:jc w:val="both"/>
        <w:rPr/>
      </w:pPr>
      <w:r>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pPr>
        <w:pStyle w:val="ConsPlusNormal"/>
        <w:spacing w:lineRule="auto" w:line="240" w:before="0" w:after="0"/>
        <w:ind w:firstLine="709"/>
        <w:jc w:val="both"/>
        <w:rPr/>
      </w:pPr>
      <w:r>
        <w:rPr/>
        <w:t>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pPr>
        <w:pStyle w:val="ConsPlusNormal"/>
        <w:spacing w:lineRule="auto" w:line="240" w:before="0" w:after="0"/>
        <w:ind w:firstLine="709"/>
        <w:jc w:val="both"/>
        <w:rPr/>
      </w:pPr>
      <w:r>
        <w:rPr/>
        <w:t>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Закона о защите конкуренции, указанных выше.</w:t>
      </w:r>
    </w:p>
    <w:p>
      <w:pPr>
        <w:pStyle w:val="ConsPlusNormal"/>
        <w:spacing w:lineRule="auto" w:line="240" w:before="0" w:after="0"/>
        <w:ind w:firstLine="709"/>
        <w:jc w:val="both"/>
        <w:rPr/>
      </w:pPr>
      <w:r>
        <w:rPr/>
        <w:t>Поскольку перечень запретов, злоупотребления доминирующим положением, предусмотренный частью 1 статьи 10 Закона о защите конкуренции, не является исчерпывающим, то могут быть признаны допустимыми также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pPr>
        <w:pStyle w:val="ConsPlusNormal"/>
        <w:spacing w:lineRule="auto" w:line="240" w:before="0" w:after="0"/>
        <w:ind w:firstLine="709"/>
        <w:jc w:val="both"/>
        <w:rPr/>
      </w:pPr>
      <w:r>
        <w:rPr/>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Примером допустимых действий является поведение, соответствующее </w:t>
      </w:r>
      <w:r>
        <w:rPr>
          <w:rFonts w:ascii="Times New Roman" w:hAnsi="Times New Roman"/>
          <w:b/>
          <w:sz w:val="28"/>
          <w:szCs w:val="28"/>
        </w:rPr>
        <w:t>правилам недискриминационного доступа к услугам естественных монополий</w:t>
      </w:r>
      <w:r>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Так, в настоящее время действуют: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недискриминационного доступа к услугам: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 передаче электрической энергии и оказания этих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 оперативно-диспетчерскому управлению в электроэнергетике и оказания этих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администратора торговой системы оптового рынка и оказания этих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обеспечения доступа к услугам субъектов естественных монополий в аэропортах.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общедоступного 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С учётом положений пунктов 6, 8 части 1 статьи 10 Закона о защите конкуренции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вправе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С целью определенности Правил недискриминационного доступа установлены требования к их содержанию. Так в Правилах должны быть указаны: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перечень товаров, к которым предоставляется недискриминационный доступ;</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существенные условия договоров и (или) типовые договоры о предоставлении доступа к товарам;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Одним из способов признания действий хозяйствующего субъекта в качестве допустимых способов ведения бизнеса является </w:t>
      </w:r>
      <w:r>
        <w:rPr>
          <w:rFonts w:ascii="Times New Roman" w:hAnsi="Times New Roman"/>
          <w:b/>
          <w:sz w:val="28"/>
          <w:szCs w:val="28"/>
        </w:rPr>
        <w:t>утверждение доминирующим на товарном рынке хозяйствующим субъектом правил торговой практики</w:t>
      </w:r>
      <w:r>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pPr>
        <w:pStyle w:val="Normal"/>
        <w:spacing w:lineRule="auto" w:line="240" w:before="0" w:after="0"/>
        <w:ind w:firstLine="709"/>
        <w:jc w:val="both"/>
        <w:rPr>
          <w:rFonts w:ascii="Times New Roman" w:hAnsi="Times New Roman"/>
          <w:sz w:val="28"/>
          <w:szCs w:val="28"/>
        </w:rPr>
      </w:pPr>
      <w:r>
        <w:rPr>
          <w:rFonts w:ascii="Times New Roman" w:hAnsi="Times New Roman"/>
          <w:b/>
          <w:sz w:val="28"/>
          <w:szCs w:val="28"/>
        </w:rPr>
        <w:t xml:space="preserve">Правила торговой практики </w:t>
      </w:r>
      <w:r>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Правила торговой практики и надлежащая их реализация 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Ряд торговых практик были приняты хозяйствующими субъектами по предписаниям ФАС России в рамках рассмотрения дел о нарушениях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 </w:t>
      </w:r>
      <w:r>
        <w:rPr>
          <w:rFonts w:ascii="Times New Roman" w:hAnsi="Times New Roman"/>
          <w:b/>
          <w:sz w:val="28"/>
          <w:szCs w:val="28"/>
        </w:rPr>
        <w:t>Кроме этого, прозрачность взаимодействия с контрагентами</w:t>
      </w:r>
      <w:r>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t>Рекомендации при разработке и внедрении правил торговой практики: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процесс отбора контрагентов (данный процесс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процесс работы с контрагентами, а также коммерческие условия, включающие объемы поставок, ассортимент товаров, условия формирования цены, условия оплаты, условия предоставления скидок и премий;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 и иные положения;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порядок делопроизводства хозяйствующего субъекта, занимающего доминирующее положение, отражающий указанные процессы работы с контрагентами.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недопустимо создание дискриминационных условий, то есть условий,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при применении правил торговой практики при отборе потенциальных контрагентов или при работе с действующими контрагентами, а также иное злоупотребление доминирующим положением.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 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При внесении хозяйствующим субъектом, занимающим доминирующее положение, изменений в правила торговой практики возможно предусмотреть переходный период вступления измененных положений в силу и надлежащим образом предупредить о таких изменениях контрагентов.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РАЗЪЯСНЕНИЕ N 6</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ПРЕЗИДИУМА ФАС РОССИИ</w:t>
      </w:r>
    </w:p>
    <w:p>
      <w:pPr>
        <w:pStyle w:val="Normal"/>
        <w:numPr>
          <w:ilvl w:val="0"/>
          <w:numId w:val="0"/>
        </w:numPr>
        <w:spacing w:lineRule="auto" w:line="240" w:before="0" w:after="0"/>
        <w:jc w:val="center"/>
        <w:outlineLvl w:val="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"ДОКАЗЫВАНИЕ И РАСЧЕТ УБЫТКОВ,</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ПРИЧИНЕННЫХ НАРУШЕНИЕМ АНТИМОНОПОЛЬНОГО ЗАКОНОДАТЕЛЬСТВА"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Настоящие разъяснения носят рекомендательный характер.</w:t>
      </w:r>
    </w:p>
    <w:p>
      <w:pPr>
        <w:pStyle w:val="Normal"/>
        <w:spacing w:lineRule="auto" w:line="240" w:before="0" w:after="0"/>
        <w:ind w:firstLine="540"/>
        <w:jc w:val="both"/>
        <w:rPr/>
      </w:pPr>
      <w:r>
        <w:rPr>
          <w:rFonts w:cs="Times New Roman" w:ascii="Times New Roman" w:hAnsi="Times New Roman"/>
          <w:sz w:val="28"/>
          <w:szCs w:val="28"/>
        </w:rPr>
        <w:t xml:space="preserve">В соответствии с </w:t>
      </w:r>
      <w:hyperlink r:id="rId19">
        <w:r>
          <w:rPr>
            <w:rStyle w:val="Style16"/>
            <w:rFonts w:cs="Times New Roman" w:ascii="Times New Roman" w:hAnsi="Times New Roman"/>
            <w:sz w:val="28"/>
            <w:szCs w:val="28"/>
          </w:rPr>
          <w:t>частью 3 статьи 37</w:t>
        </w:r>
      </w:hyperlink>
      <w:r>
        <w:rPr>
          <w:rFonts w:cs="Times New Roman" w:ascii="Times New Roman" w:hAnsi="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pPr>
        <w:pStyle w:val="Normal"/>
        <w:spacing w:lineRule="auto" w:line="240" w:before="0" w:after="0"/>
        <w:ind w:firstLine="540"/>
        <w:jc w:val="both"/>
        <w:rPr/>
      </w:pPr>
      <w:r>
        <w:rPr>
          <w:rFonts w:cs="Times New Roman" w:ascii="Times New Roman" w:hAnsi="Times New Roman"/>
          <w:sz w:val="28"/>
          <w:szCs w:val="28"/>
        </w:rPr>
        <w:t xml:space="preserve">Согласно </w:t>
      </w:r>
      <w:hyperlink r:id="rId20">
        <w:r>
          <w:rPr>
            <w:rStyle w:val="Style16"/>
            <w:rFonts w:cs="Times New Roman" w:ascii="Times New Roman" w:hAnsi="Times New Roman"/>
            <w:sz w:val="28"/>
            <w:szCs w:val="28"/>
          </w:rPr>
          <w:t>части 1 статьи 15</w:t>
        </w:r>
      </w:hyperlink>
      <w:r>
        <w:rPr>
          <w:rFonts w:cs="Times New Roman" w:ascii="Times New Roman" w:hAnsi="Times New Roman"/>
          <w:sz w:val="28"/>
          <w:szCs w:val="28"/>
        </w:rPr>
        <w:t xml:space="preserve">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Гражданское законодательство подразделяет убытки на реальный ущерб и упущенную выгоду.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факт нарушения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факт наличия убытков (включая их величину);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причинно-следственную связь между нарушением антимонопольного законодательства и причиненными убытками.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доказывания самого правонарушения</w:t>
      </w:r>
      <w:r>
        <w:rPr>
          <w:rStyle w:val="Style20"/>
          <w:rFonts w:cs="Times New Roman" w:ascii="Times New Roman" w:hAnsi="Times New Roman"/>
          <w:sz w:val="28"/>
          <w:szCs w:val="28"/>
        </w:rPr>
        <w:footnoteReference w:id="2"/>
      </w:r>
      <w:r>
        <w:rPr>
          <w:rFonts w:cs="Times New Roman" w:ascii="Times New Roman" w:hAnsi="Times New Roman"/>
          <w:sz w:val="28"/>
          <w:szCs w:val="28"/>
        </w:rPr>
        <w:t>, но не снижает требований к доказыванию истцом самого факта причинения убытков и наличия причинно-следственной связи.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 в качестве примера целесообразно привести дело о взыскании упущенной выгоды, вызванной необоснованным прекращением ответчиком поставки сырья</w:t>
      </w:r>
      <w:r>
        <w:rPr>
          <w:rStyle w:val="Style20"/>
          <w:rFonts w:cs="Times New Roman" w:ascii="Times New Roman" w:hAnsi="Times New Roman"/>
          <w:sz w:val="28"/>
          <w:szCs w:val="28"/>
        </w:rPr>
        <w:footnoteReference w:id="3"/>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б) Была ли возможность у Истца произвести цемент марки ЦЕМ 11/А-Ш 32.5 Б в августе 2008 года?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 Имел ли Истец возможность и обязательства по реализации цемента марки ЦЕМ 11/А-Ш 32.5 Б в августе 2008 г. и в каком объеме?"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Экспертиза подтвердила следующее: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Для производства цемента у истца имелись все необходимые ресурсы, за исключением белитового шлама.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Истец имел гарантированные обязательства по реализации цемента в августе 2008 г.</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 А40-82320/2008).</w:t>
      </w:r>
    </w:p>
    <w:p>
      <w:pPr>
        <w:pStyle w:val="Normal"/>
        <w:spacing w:lineRule="auto" w:line="240" w:before="0" w:after="0"/>
        <w:ind w:firstLine="540"/>
        <w:jc w:val="both"/>
        <w:rPr/>
      </w:pPr>
      <w:r>
        <w:rPr>
          <w:rFonts w:cs="Times New Roman" w:ascii="Times New Roman" w:hAnsi="Times New Roman"/>
          <w:sz w:val="28"/>
          <w:szCs w:val="28"/>
        </w:rPr>
        <w:t xml:space="preserve">В качестве иного примера следует привести решение Арбитражного суда города Москвы от 12 июля 2010 г. по делу № А40-46424/10-59-378 о взыскании реального ущерба, причиненного нарушением ответчиком </w:t>
      </w:r>
      <w:hyperlink r:id="rId21">
        <w:r>
          <w:rPr>
            <w:rStyle w:val="Style16"/>
            <w:rFonts w:cs="Times New Roman" w:ascii="Times New Roman" w:hAnsi="Times New Roman"/>
            <w:sz w:val="28"/>
            <w:szCs w:val="28"/>
          </w:rPr>
          <w:t>пункта 6 части 1 статьи 10</w:t>
        </w:r>
      </w:hyperlink>
      <w:r>
        <w:rPr>
          <w:rFonts w:cs="Times New Roman" w:ascii="Times New Roman" w:hAnsi="Times New Roman"/>
          <w:sz w:val="28"/>
          <w:szCs w:val="28"/>
        </w:rPr>
        <w:t xml:space="preserve"> Закона о конкуренции.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 (от 22 ноября 2007 г. № ИА/22458).</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результате Суд взыскал в пользу истца реальный ущерб в размере 1 141 085 606 руб. 15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w:t>
      </w:r>
      <w:r>
        <w:rPr>
          <w:rStyle w:val="Style20"/>
          <w:rFonts w:cs="Times New Roman" w:ascii="Times New Roman" w:hAnsi="Times New Roman"/>
          <w:sz w:val="28"/>
          <w:szCs w:val="28"/>
        </w:rPr>
        <w:footnoteReference w:id="4"/>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итоге расчет убытков в данном деле выглядел следующим образом: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2 089 586 523 руб. 70 коп. - 427 482 013 руб. 80 коп. = 1 662 104 509 руб. 90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предоплаты в размере 10 млн. рублей</w:t>
      </w:r>
      <w:r>
        <w:rPr>
          <w:rStyle w:val="Style20"/>
          <w:rFonts w:cs="Times New Roman" w:ascii="Times New Roman" w:hAnsi="Times New Roman"/>
          <w:sz w:val="28"/>
          <w:szCs w:val="28"/>
        </w:rPr>
        <w:footnoteReference w:id="5"/>
      </w:r>
      <w:r>
        <w:rPr>
          <w:rFonts w:cs="Times New Roman" w:ascii="Times New Roman" w:hAnsi="Times New Roman"/>
          <w:sz w:val="28"/>
          <w:szCs w:val="28"/>
        </w:rPr>
        <w:t>.</w:t>
      </w:r>
    </w:p>
    <w:p>
      <w:pPr>
        <w:pStyle w:val="Normal"/>
        <w:spacing w:lineRule="auto" w:line="240" w:before="0" w:after="0"/>
        <w:ind w:firstLine="540"/>
        <w:jc w:val="both"/>
        <w:rPr/>
      </w:pPr>
      <w:r>
        <w:rPr>
          <w:rFonts w:cs="Times New Roman" w:ascii="Times New Roman" w:hAnsi="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2">
        <w:r>
          <w:rPr>
            <w:rStyle w:val="Style16"/>
            <w:rFonts w:cs="Times New Roman" w:ascii="Times New Roman" w:hAnsi="Times New Roman"/>
            <w:sz w:val="28"/>
            <w:szCs w:val="28"/>
          </w:rPr>
          <w:t>подпункты 3</w:t>
        </w:r>
      </w:hyperlink>
      <w:r>
        <w:rPr>
          <w:rFonts w:cs="Times New Roman" w:ascii="Times New Roman" w:hAnsi="Times New Roman"/>
          <w:sz w:val="28"/>
          <w:szCs w:val="28"/>
        </w:rPr>
        <w:t xml:space="preserve"> и </w:t>
      </w:r>
      <w:hyperlink r:id="rId23">
        <w:r>
          <w:rPr>
            <w:rStyle w:val="Style16"/>
            <w:rFonts w:cs="Times New Roman" w:ascii="Times New Roman" w:hAnsi="Times New Roman"/>
            <w:sz w:val="28"/>
            <w:szCs w:val="28"/>
          </w:rPr>
          <w:t>10 части 1 статьи 10</w:t>
        </w:r>
      </w:hyperlink>
      <w:r>
        <w:rPr>
          <w:rFonts w:cs="Times New Roman" w:ascii="Times New Roman" w:hAnsi="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Общая стоимость оборудования и строительно-монтажных работ составила 9 966 460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Данная сумма была признана убытками истца.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24">
        <w:r>
          <w:rPr>
            <w:rStyle w:val="Style16"/>
            <w:rFonts w:cs="Times New Roman" w:ascii="Times New Roman" w:hAnsi="Times New Roman"/>
            <w:sz w:val="28"/>
            <w:szCs w:val="28"/>
          </w:rPr>
          <w:t>пункта 5 части 1 статьи 10</w:t>
        </w:r>
      </w:hyperlink>
      <w:r>
        <w:rPr>
          <w:rFonts w:cs="Times New Roman" w:ascii="Times New Roman" w:hAnsi="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Style20"/>
          <w:rFonts w:cs="Times New Roman" w:ascii="Times New Roman" w:hAnsi="Times New Roman"/>
          <w:sz w:val="28"/>
          <w:szCs w:val="28"/>
        </w:rPr>
        <w:footnoteReference w:id="6"/>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25">
        <w:r>
          <w:rPr>
            <w:rStyle w:val="Style16"/>
            <w:rFonts w:cs="Times New Roman" w:ascii="Times New Roman" w:hAnsi="Times New Roman"/>
            <w:sz w:val="28"/>
            <w:szCs w:val="28"/>
          </w:rPr>
          <w:t>часть 1 статьи 15</w:t>
        </w:r>
      </w:hyperlink>
      <w:r>
        <w:rPr>
          <w:rFonts w:cs="Times New Roman" w:ascii="Times New Roman" w:hAnsi="Times New Roman"/>
          <w:sz w:val="28"/>
          <w:szCs w:val="28"/>
        </w:rPr>
        <w:t xml:space="preserve"> 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Style20"/>
          <w:rFonts w:cs="Times New Roman" w:ascii="Times New Roman" w:hAnsi="Times New Roman"/>
          <w:sz w:val="28"/>
          <w:szCs w:val="28"/>
        </w:rPr>
        <w:footnoteReference w:id="7"/>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Style20"/>
          <w:rFonts w:cs="Times New Roman" w:ascii="Times New Roman" w:hAnsi="Times New Roman"/>
          <w:sz w:val="28"/>
          <w:szCs w:val="28"/>
        </w:rPr>
        <w:footnoteReference w:id="8"/>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7</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«ПОРЯДОК ПРИМЕНЕНИЯ ЗАКОНА О ЗАЩИТЕ КОНКУРЕНЦИИ</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Pr>
          <w:rFonts w:eastAsia="Times New Roman" w:cs="Times New Roman" w:ascii="Times New Roman" w:hAnsi="Times New Roman"/>
          <w:b/>
          <w:bCs/>
          <w:iCs/>
          <w:color w:val="000000"/>
          <w:sz w:val="28"/>
          <w:szCs w:val="28"/>
          <w:lang w:eastAsia="ru-RU"/>
        </w:rPr>
        <w:t>КоАП.</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Pr>
          <w:rFonts w:eastAsia="Times New Roman" w:cs="Times New Roman" w:ascii="Times New Roman" w:hAnsi="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Pr>
          <w:rFonts w:eastAsia="Times New Roman" w:cs="Times New Roman" w:ascii="Times New Roman" w:hAnsi="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1) </w:t>
      </w:r>
      <w:r>
        <w:rPr>
          <w:rFonts w:eastAsia="Times New Roman" w:cs="Times New Roman" w:ascii="Times New Roman" w:hAnsi="Times New Roman"/>
          <w:bCs/>
          <w:color w:val="000000"/>
          <w:sz w:val="28"/>
          <w:szCs w:val="28"/>
          <w:lang w:eastAsia="ru-RU"/>
        </w:rPr>
        <w:t>Субъектами административного правонарушения</w:t>
      </w:r>
      <w:r>
        <w:rPr>
          <w:rFonts w:eastAsia="Times New Roman" w:cs="Times New Roman" w:ascii="Times New Roman" w:hAnsi="Times New Roman"/>
          <w:color w:val="000000"/>
          <w:sz w:val="28"/>
          <w:szCs w:val="28"/>
          <w:lang w:eastAsia="ru-RU"/>
        </w:rPr>
        <w:t xml:space="preserve">, ответственность за совершение которого предусмотрена статьей 9.21 КоАП, являются </w:t>
      </w:r>
      <w:r>
        <w:rPr>
          <w:rFonts w:eastAsia="Times New Roman" w:cs="Times New Roman" w:ascii="Times New Roman" w:hAnsi="Times New Roman"/>
          <w:sz w:val="28"/>
          <w:szCs w:val="28"/>
          <w:lang w:eastAsia="ru-RU"/>
        </w:rPr>
        <w:t>субъекты естественной монополии, осуществляющие свою деятельность в следующих сферах: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транспортировки газа по газопроводам;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оказания услуг по передаче электрической энергии;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оказания услуг по передаче тепловой энергии;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Cs/>
          <w:color w:val="000000"/>
          <w:sz w:val="28"/>
          <w:szCs w:val="28"/>
          <w:lang w:eastAsia="ru-RU"/>
        </w:rPr>
        <w:t>Объективную сторону административного правонарушения</w:t>
      </w:r>
      <w:r>
        <w:rPr>
          <w:rFonts w:eastAsia="Times New Roman" w:cs="Times New Roman" w:ascii="Times New Roman" w:hAnsi="Times New Roman"/>
          <w:color w:val="000000"/>
          <w:sz w:val="28"/>
          <w:szCs w:val="28"/>
          <w:lang w:eastAsia="ru-RU"/>
        </w:rPr>
        <w:t xml:space="preserve"> составляет нарушение </w:t>
      </w:r>
      <w:r>
        <w:rPr>
          <w:rFonts w:eastAsia="Times New Roman" w:cs="Times New Roman" w:ascii="Times New Roman" w:hAnsi="Times New Roman"/>
          <w:bCs/>
          <w:color w:val="000000"/>
          <w:sz w:val="28"/>
          <w:szCs w:val="28"/>
          <w:lang w:eastAsia="ru-RU"/>
        </w:rPr>
        <w:t>указанными субъектами</w:t>
      </w:r>
      <w:r>
        <w:rPr>
          <w:rFonts w:eastAsia="Times New Roman" w:cs="Times New Roman" w:ascii="Times New Roman" w:hAnsi="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настоящее время утверждены и действуют следующие </w:t>
      </w:r>
      <w:r>
        <w:rPr>
          <w:rFonts w:eastAsia="Times New Roman" w:cs="Times New Roman" w:ascii="Times New Roman" w:hAnsi="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w:t>
      </w:r>
      <w:r>
        <w:rPr>
          <w:rFonts w:eastAsia="Times New Roman" w:cs="Times New Roman" w:ascii="Times New Roman" w:hAnsi="Times New Roman"/>
          <w:bCs/>
          <w:color w:val="000000"/>
          <w:sz w:val="28"/>
          <w:szCs w:val="28"/>
          <w:lang w:eastAsia="ru-RU"/>
        </w:rPr>
        <w:t xml:space="preserve">Субъектами </w:t>
      </w:r>
      <w:r>
        <w:rPr>
          <w:rFonts w:eastAsia="Times New Roman" w:cs="Times New Roman" w:ascii="Times New Roman" w:hAnsi="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Pr>
          <w:rFonts w:eastAsia="Times New Roman" w:cs="Times New Roman" w:ascii="Times New Roman" w:hAnsi="Times New Roman"/>
          <w:sz w:val="28"/>
          <w:szCs w:val="28"/>
          <w:lang w:eastAsia="ru-RU"/>
        </w:rPr>
        <w:t>обственники или иные законные владельцы объектов электросетевого хозяйства.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Объективную сторону</w:t>
      </w:r>
      <w:r>
        <w:rPr>
          <w:rFonts w:eastAsia="Times New Roman" w:cs="Times New Roman" w:ascii="Times New Roman" w:hAnsi="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w:t>
      </w:r>
      <w:r>
        <w:rPr>
          <w:rFonts w:eastAsia="Times New Roman" w:cs="Times New Roman" w:ascii="Times New Roman" w:hAnsi="Times New Roman"/>
          <w:bCs/>
          <w:color w:val="000000"/>
          <w:sz w:val="28"/>
          <w:szCs w:val="28"/>
          <w:lang w:eastAsia="ru-RU"/>
        </w:rPr>
        <w:t xml:space="preserve">Субъектами </w:t>
      </w:r>
      <w:r>
        <w:rPr>
          <w:rFonts w:eastAsia="Times New Roman" w:cs="Times New Roman" w:ascii="Times New Roman" w:hAnsi="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Pr>
          <w:rFonts w:eastAsia="Times New Roman" w:cs="Times New Roman" w:ascii="Times New Roman" w:hAnsi="Times New Roman"/>
          <w:sz w:val="28"/>
          <w:szCs w:val="28"/>
          <w:lang w:eastAsia="ru-RU"/>
        </w:rPr>
        <w:t>водопроводных и (или) канализационных сетей.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Объективную сторону</w:t>
      </w:r>
      <w:r>
        <w:rPr>
          <w:rFonts w:eastAsia="Times New Roman" w:cs="Times New Roman" w:ascii="Times New Roman" w:hAnsi="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2. Специальный характер норм статьи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Следует учитывать, что со вступлением Закона № 250-ФЗ в силу нормам статьи 9.21 КоАП был придан </w:t>
      </w:r>
      <w:r>
        <w:rPr>
          <w:rFonts w:eastAsia="Times New Roman" w:cs="Times New Roman" w:ascii="Times New Roman" w:hAnsi="Times New Roman"/>
          <w:bCs/>
          <w:sz w:val="28"/>
          <w:szCs w:val="28"/>
          <w:lang w:eastAsia="ru-RU"/>
        </w:rPr>
        <w:t>специальный</w:t>
      </w:r>
      <w:r>
        <w:rPr>
          <w:rFonts w:eastAsia="Times New Roman" w:cs="Times New Roman" w:ascii="Times New Roman" w:hAnsi="Times New Roman"/>
          <w:sz w:val="28"/>
          <w:szCs w:val="28"/>
          <w:lang w:eastAsia="ru-RU"/>
        </w:rPr>
        <w:t xml:space="preserve"> по отношению к нормам статьи 14.31 КоАП характер.</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Pr>
          <w:rFonts w:eastAsia="Times New Roman" w:cs="Times New Roman" w:ascii="Times New Roman" w:hAnsi="Times New Roman"/>
          <w:bCs/>
          <w:sz w:val="28"/>
          <w:szCs w:val="28"/>
          <w:lang w:eastAsia="ru-RU"/>
        </w:rPr>
        <w:t xml:space="preserve">учитывать приоритет специальных норм </w:t>
      </w:r>
      <w:r>
        <w:rPr>
          <w:rFonts w:eastAsia="Times New Roman" w:cs="Times New Roman" w:ascii="Times New Roman" w:hAnsi="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color w:val="000000"/>
          <w:sz w:val="28"/>
          <w:szCs w:val="28"/>
          <w:lang w:eastAsia="ru-RU"/>
        </w:rPr>
        <w:t>3. О применении</w:t>
      </w:r>
      <w:r>
        <w:rPr>
          <w:rFonts w:eastAsia="Times New Roman" w:cs="Times New Roman" w:ascii="Times New Roman" w:hAnsi="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Pr>
          <w:rStyle w:val="Style20"/>
          <w:rFonts w:eastAsia="Times New Roman" w:cs="Times New Roman" w:ascii="Times New Roman" w:hAnsi="Times New Roman"/>
          <w:b/>
          <w:bCs/>
          <w:iCs/>
          <w:sz w:val="28"/>
          <w:szCs w:val="28"/>
          <w:lang w:eastAsia="ru-RU"/>
        </w:rPr>
        <w:footnoteReference w:id="9"/>
      </w:r>
      <w:r>
        <w:rPr>
          <w:rFonts w:eastAsia="Times New Roman" w:cs="Times New Roman" w:ascii="Times New Roman" w:hAnsi="Times New Roman"/>
          <w:b/>
          <w:bCs/>
          <w:iCs/>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4. Особенности применения статьи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Антимонопольному органу необходимо учитывать следующее: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pPr>
        <w:pStyle w:val="Normal"/>
        <w:suppressAutoHyphens w:val="true"/>
        <w:spacing w:lineRule="auto" w:line="240" w:before="0" w:after="0"/>
        <w:ind w:firstLine="709"/>
        <w:jc w:val="both"/>
        <w:textAlignment w:val="baseline"/>
        <w:rPr>
          <w:rFonts w:ascii="Times New Roman" w:hAnsi="Times New Roman" w:eastAsia="SimSun" w:cs="Times New Roman"/>
          <w:sz w:val="28"/>
          <w:szCs w:val="28"/>
        </w:rPr>
      </w:pPr>
      <w:r>
        <w:rPr>
          <w:rFonts w:eastAsia="SimSun" w:cs="Times New Roman" w:ascii="Times New Roman" w:hAnsi="Times New Roman"/>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pPr>
        <w:pStyle w:val="Normal"/>
        <w:suppressAutoHyphens w:val="true"/>
        <w:spacing w:lineRule="auto" w:line="240" w:before="0" w:after="0"/>
        <w:ind w:firstLine="709"/>
        <w:jc w:val="both"/>
        <w:textAlignment w:val="baseline"/>
        <w:rPr>
          <w:rFonts w:ascii="Times New Roman" w:hAnsi="Times New Roman" w:eastAsia="SimSun" w:cs="Times New Roman"/>
          <w:sz w:val="28"/>
          <w:szCs w:val="28"/>
        </w:rPr>
      </w:pPr>
      <w:r>
        <w:rPr>
          <w:rFonts w:eastAsia="SimSun" w:cs="Times New Roman" w:ascii="Times New Roman" w:hAnsi="Times New Roman"/>
          <w:sz w:val="28"/>
          <w:szCs w:val="28"/>
        </w:rPr>
        <w:t xml:space="preserve">Следовательно, неосуществление, например, мероприятий технологического присоединения в 6-ти месячный срок, </w:t>
      </w:r>
      <w:r>
        <w:rPr>
          <w:rFonts w:eastAsia="Times New Roman" w:cs="Times New Roman" w:ascii="Times New Roman" w:hAnsi="Times New Roman"/>
          <w:sz w:val="28"/>
          <w:szCs w:val="28"/>
          <w:lang w:eastAsia="ru-RU"/>
        </w:rPr>
        <w:t xml:space="preserve">установленный пунктом 16 Правил технологического присоединения энергопринимающих устройств </w:t>
      </w:r>
      <w:r>
        <w:rPr>
          <w:rFonts w:eastAsia="SimSun" w:cs="Times New Roman" w:ascii="Times New Roman" w:hAnsi="Times New Roman"/>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Pr>
          <w:rFonts w:eastAsia="Times New Roman" w:cs="Times New Roman" w:ascii="Times New Roman" w:hAnsi="Times New Roman"/>
          <w:sz w:val="28"/>
          <w:szCs w:val="28"/>
          <w:lang w:eastAsia="ru-RU"/>
        </w:rPr>
        <w:t xml:space="preserve">к электрическим сетям, утвержденных постановлением Правительства </w:t>
      </w:r>
      <w:r>
        <w:rPr>
          <w:rFonts w:eastAsia="SimSun" w:cs="Times New Roman" w:ascii="Times New Roman" w:hAnsi="Times New Roman"/>
          <w:sz w:val="28"/>
          <w:szCs w:val="28"/>
        </w:rPr>
        <w:t>Российской Федерации</w:t>
      </w:r>
      <w:r>
        <w:rPr>
          <w:rFonts w:eastAsia="Times New Roman" w:cs="Times New Roman" w:ascii="Times New Roman" w:hAnsi="Times New Roman"/>
          <w:sz w:val="28"/>
          <w:szCs w:val="28"/>
          <w:lang w:eastAsia="ru-RU"/>
        </w:rPr>
        <w:t xml:space="preserve"> от 27.12.2004 № 861</w:t>
      </w:r>
      <w:r>
        <w:rPr>
          <w:rFonts w:eastAsia="SimSun" w:cs="Times New Roman" w:ascii="Times New Roman" w:hAnsi="Times New Roman"/>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5.1. Относительно </w:t>
      </w:r>
      <w:r>
        <w:rPr>
          <w:rFonts w:eastAsia="Times New Roman" w:cs="Times New Roman" w:ascii="Times New Roman" w:hAnsi="Times New Roman"/>
          <w:bCs/>
          <w:sz w:val="28"/>
          <w:szCs w:val="28"/>
          <w:lang w:eastAsia="ru-RU"/>
        </w:rPr>
        <w:t>возбуждения дела о нарушении антимонопольного законодательства</w:t>
      </w:r>
      <w:r>
        <w:rPr>
          <w:rFonts w:eastAsia="Times New Roman" w:cs="Times New Roman" w:ascii="Times New Roman" w:hAnsi="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iCs/>
          <w:color w:val="000000"/>
          <w:sz w:val="28"/>
          <w:szCs w:val="28"/>
          <w:lang w:eastAsia="ru-RU"/>
        </w:rPr>
        <w:t xml:space="preserve">5.2. </w:t>
      </w:r>
      <w:r>
        <w:rPr>
          <w:rFonts w:eastAsia="Times New Roman" w:cs="Times New Roman" w:ascii="Times New Roman" w:hAnsi="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Pr>
          <w:rFonts w:eastAsia="Times New Roman" w:cs="Times New Roman" w:ascii="Times New Roman" w:hAnsi="Times New Roman"/>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Законом № 250-ФЗ</w:t>
      </w:r>
      <w:r>
        <w:rPr>
          <w:rFonts w:eastAsia="Times New Roman" w:cs="Times New Roman" w:ascii="Times New Roman" w:hAnsi="Times New Roman"/>
          <w:sz w:val="28"/>
          <w:szCs w:val="28"/>
          <w:lang w:eastAsia="ru-RU"/>
        </w:rPr>
        <w:t xml:space="preserve"> также внесены изменения в статью 18.1 Закона о защите конкуренции.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Pr>
          <w:rFonts w:eastAsia="Times New Roman" w:cs="Times New Roman" w:ascii="Times New Roman" w:hAnsi="Times New Roman"/>
          <w:sz w:val="28"/>
          <w:szCs w:val="28"/>
          <w:lang w:val="en-US" w:eastAsia="ru-RU"/>
        </w:rPr>
        <w:t>II</w:t>
      </w:r>
      <w:r>
        <w:rPr>
          <w:rFonts w:eastAsia="Times New Roman" w:cs="Times New Roman" w:ascii="Times New Roman" w:hAnsi="Times New Roman"/>
          <w:sz w:val="28"/>
          <w:szCs w:val="28"/>
          <w:lang w:eastAsia="ru-RU"/>
        </w:rPr>
        <w:t>, подраздел 3).</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незаконном отказе в приеме документов, заявлений;</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нарушении установленных сроков осуществления процедуры;</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5.3. При поступлении в антимонопольный орган </w:t>
      </w:r>
      <w:r>
        <w:rPr>
          <w:rFonts w:eastAsia="Times New Roman" w:cs="Times New Roman" w:ascii="Times New Roman" w:hAnsi="Times New Roman"/>
          <w:bCs/>
          <w:sz w:val="28"/>
          <w:szCs w:val="28"/>
          <w:lang w:eastAsia="ru-RU"/>
        </w:rPr>
        <w:t>заявления о нарушении антимонопольного законодательства</w:t>
      </w:r>
      <w:r>
        <w:rPr>
          <w:rFonts w:eastAsia="Times New Roman" w:cs="Times New Roman" w:ascii="Times New Roman" w:hAnsi="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bCs/>
          <w:iCs/>
          <w:sz w:val="28"/>
          <w:szCs w:val="28"/>
          <w:lang w:eastAsia="ru-RU"/>
        </w:rPr>
        <w:t>6. Правовой статус потерпевшего от административного правонарушения, предусмотренного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законодательству Российской Федерации.</w:t>
      </w:r>
    </w:p>
    <w:p>
      <w:pPr>
        <w:pStyle w:val="Normal"/>
        <w:numPr>
          <w:ilvl w:val="0"/>
          <w:numId w:val="0"/>
        </w:numPr>
        <w:spacing w:lineRule="auto" w:line="240" w:before="0" w:after="0"/>
        <w:jc w:val="center"/>
        <w:outlineLvl w:val="0"/>
        <w:rPr>
          <w:rFonts w:ascii="Times New Roman" w:hAnsi="Times New Roman" w:eastAsia="ヒラギノ角ゴ Pro W3" w:cs="Times New Roman"/>
          <w:b/>
          <w:b/>
          <w:sz w:val="28"/>
          <w:szCs w:val="28"/>
        </w:rPr>
      </w:pPr>
      <w:r>
        <w:rPr>
          <w:rFonts w:eastAsia="Calibri" w:cs="Times New Roman" w:ascii="Times New Roman" w:hAnsi="Times New Roman"/>
          <w:b/>
          <w:sz w:val="28"/>
          <w:szCs w:val="28"/>
        </w:rPr>
        <w:t>РАЗЪЯСНЕНИЕ</w:t>
      </w:r>
    </w:p>
    <w:p>
      <w:pPr>
        <w:pStyle w:val="Normal"/>
        <w:numPr>
          <w:ilvl w:val="0"/>
          <w:numId w:val="0"/>
        </w:numPr>
        <w:spacing w:lineRule="auto" w:line="240" w:before="0" w:after="0"/>
        <w:jc w:val="center"/>
        <w:outlineLvl w:val="0"/>
        <w:rPr>
          <w:rFonts w:ascii="Times New Roman" w:hAnsi="Times New Roman" w:eastAsia="ヒラギノ角ゴ Pro W3" w:cs="Times New Roman"/>
          <w:b/>
          <w:b/>
          <w:sz w:val="28"/>
          <w:szCs w:val="28"/>
        </w:rPr>
      </w:pPr>
      <w:r>
        <w:rPr>
          <w:rFonts w:eastAsia="Calibri" w:cs="Times New Roman" w:ascii="Times New Roman" w:hAnsi="Times New Roman"/>
          <w:b/>
          <w:sz w:val="28"/>
          <w:szCs w:val="28"/>
        </w:rPr>
        <w:t>«О ПРИМЕНЕНИИ ПОЛОЖЕНИЙ СТАТЬИ 10 ЗАКОНА О ЗАЩИТЕ КОНКУРЕНЦИИ»</w:t>
      </w:r>
    </w:p>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b/>
          <w:sz w:val="28"/>
          <w:szCs w:val="28"/>
        </w:rPr>
        <w:t>1. Понятие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1.1. Общие условия применения запрета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 xml:space="preserve">1.2. Конструкция правового запрета </w:t>
      </w:r>
      <w:bookmarkStart w:id="8" w:name="OLE_LINK10"/>
      <w:bookmarkEnd w:id="8"/>
      <w:r>
        <w:rPr>
          <w:rFonts w:eastAsia="Calibri" w:cs="Times New Roman" w:ascii="Times New Roman" w:hAnsi="Times New Roman"/>
          <w:b/>
          <w:bCs/>
          <w:sz w:val="28"/>
          <w:szCs w:val="28"/>
        </w:rPr>
        <w:t>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Pr>
          <w:rFonts w:eastAsia="Calibri" w:cs="Times New Roman" w:ascii="Times New Roman" w:hAnsi="Times New Roman"/>
          <w:b/>
          <w:sz w:val="28"/>
          <w:szCs w:val="28"/>
        </w:rPr>
        <w:t>недопустимо</w:t>
      </w:r>
      <w:r>
        <w:rPr>
          <w:rFonts w:eastAsia="Calibri" w:cs="Times New Roman" w:ascii="Times New Roman" w:hAnsi="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1) доминирующее положение хозяйствующего субъекта;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2) совершение хозяйствующим субъектом действия (бездействия);</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3) наступление или возможность наступления негативных последствий в виде </w:t>
      </w:r>
      <w:bookmarkStart w:id="9" w:name="OLE_LINK8"/>
      <w:r>
        <w:rPr>
          <w:rFonts w:eastAsia="Calibri" w:cs="Times New Roman" w:ascii="Times New Roman" w:hAnsi="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Pr>
          <w:rFonts w:eastAsia="Calibri" w:cs="Times New Roman" w:ascii="Times New Roman" w:hAnsi="Times New Roman"/>
          <w:bCs/>
          <w:sz w:val="28"/>
          <w:szCs w:val="28"/>
        </w:rPr>
        <w:t>;</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Pr>
          <w:rFonts w:cs="Times New Roman" w:ascii="Times New Roman" w:hAnsi="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1.3. Оценка положения хозяйствующего субъекта на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оценку относительного размера долей на товарном рынке, принадлежащих конкурентам;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оценку возможности доступа на товарный рынок новых конкурентов.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Необходимость дополнительной оценки такого влияния обуславливается следующими обстоятельствами: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bCs/>
          <w:sz w:val="28"/>
          <w:szCs w:val="28"/>
        </w:rPr>
        <w:t xml:space="preserve">Необходимо также учитывать положения части 3 статьи 5 Закона о защите конкуренции, согласно которым </w:t>
      </w:r>
      <w:r>
        <w:rPr>
          <w:rFonts w:cs="Times New Roman" w:ascii="Times New Roman" w:hAnsi="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Pr>
          <w:rStyle w:val="Style20"/>
          <w:rFonts w:eastAsia="Calibri" w:cs="Times New Roman" w:ascii="Times New Roman" w:hAnsi="Times New Roman"/>
          <w:color w:val="000000"/>
          <w:sz w:val="28"/>
          <w:szCs w:val="28"/>
        </w:rPr>
        <w:footnoteReference w:id="10"/>
      </w:r>
      <w:r>
        <w:rPr>
          <w:rFonts w:eastAsia="Calibri" w:cs="Times New Roman" w:ascii="Times New Roman" w:hAnsi="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pPr>
        <w:pStyle w:val="Normal"/>
        <w:spacing w:lineRule="auto" w:line="240" w:before="0" w:after="0"/>
        <w:ind w:firstLine="851"/>
        <w:jc w:val="both"/>
        <w:rPr>
          <w:rFonts w:ascii="Times New Roman" w:hAnsi="Times New Roman" w:eastAsia="Times New Roman" w:cs="Times New Roman"/>
          <w:sz w:val="28"/>
          <w:szCs w:val="28"/>
          <w:lang w:eastAsia="ru-RU"/>
        </w:rPr>
      </w:pPr>
      <w:r>
        <w:rPr>
          <w:rFonts w:eastAsia="Calibri" w:cs="Times New Roman" w:ascii="Times New Roman" w:hAnsi="Times New Roman"/>
          <w:bCs/>
          <w:sz w:val="28"/>
          <w:szCs w:val="28"/>
        </w:rPr>
        <w:t xml:space="preserve">Согласно части 2.1 статьи 5 Закона о защите конкуренции </w:t>
      </w:r>
      <w:r>
        <w:rPr>
          <w:rFonts w:eastAsia="Times New Roman" w:cs="Times New Roman" w:ascii="Times New Roman" w:hAnsi="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финансовой организации;</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субъекта естественной монополии на товарном рынке, находящемся в состоянии естественной монополии;</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pPr>
        <w:pStyle w:val="Normal"/>
        <w:spacing w:lineRule="auto" w:line="240" w:before="0" w:after="0"/>
        <w:ind w:firstLine="547"/>
        <w:jc w:val="both"/>
        <w:rPr>
          <w:rFonts w:ascii="Times New Roman" w:hAnsi="Times New Roman" w:eastAsia="Calibri" w:cs="Times New Roman"/>
          <w:bCs/>
          <w:sz w:val="28"/>
          <w:szCs w:val="28"/>
        </w:rPr>
      </w:pPr>
      <w:r>
        <w:rPr>
          <w:rFonts w:eastAsia="Times New Roman" w:cs="Times New Roman" w:ascii="Times New Roman" w:hAnsi="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Pr>
          <w:rFonts w:eastAsia="Calibri" w:cs="Times New Roman" w:ascii="Times New Roman" w:hAnsi="Times New Roman"/>
          <w:bCs/>
          <w:sz w:val="28"/>
          <w:szCs w:val="28"/>
        </w:rPr>
        <w:t xml:space="preserve"> </w:t>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1.4. Противоправное поведение, составляющее злоупотребление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конкретные действия, которые не были совершены хозяйствующим субъектом;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1.5. Оценка негативных последствий поведения хозяйствующего субъекта</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sz w:val="28"/>
          <w:szCs w:val="28"/>
        </w:rPr>
        <w:t xml:space="preserve">При оценке наличия или угрозы </w:t>
      </w:r>
      <w:r>
        <w:rPr>
          <w:rFonts w:eastAsia="Calibri" w:cs="Times New Roman" w:ascii="Times New Roman" w:hAnsi="Times New Roman"/>
          <w:bCs/>
          <w:sz w:val="28"/>
          <w:szCs w:val="28"/>
        </w:rPr>
        <w:t xml:space="preserve">последствий в виде </w:t>
      </w:r>
      <w:r>
        <w:rPr>
          <w:rFonts w:eastAsia="Times New Roman" w:cs="Times New Roman" w:ascii="Times New Roman" w:hAnsi="Times New Roman"/>
          <w:bCs/>
          <w:sz w:val="28"/>
          <w:szCs w:val="28"/>
        </w:rPr>
        <w:t>недопущения, ограничения, устранения конкуренции, наступающих в результате</w:t>
      </w:r>
      <w:r>
        <w:rPr>
          <w:rFonts w:eastAsia="Calibri" w:cs="Times New Roman" w:ascii="Times New Roman" w:hAnsi="Times New Roman"/>
          <w:bCs/>
          <w:sz w:val="28"/>
          <w:szCs w:val="28"/>
        </w:rPr>
        <w:t xml:space="preserve"> действий (бездействия) доминирующего субъекта</w:t>
      </w:r>
      <w:r>
        <w:rPr>
          <w:rFonts w:eastAsia="Times New Roman" w:cs="Times New Roman" w:ascii="Times New Roman" w:hAnsi="Times New Roman"/>
          <w:bCs/>
          <w:sz w:val="28"/>
          <w:szCs w:val="28"/>
        </w:rPr>
        <w:t>,</w:t>
      </w:r>
      <w:r>
        <w:rPr>
          <w:rFonts w:eastAsia="Calibri" w:cs="Times New Roman" w:ascii="Times New Roman" w:hAnsi="Times New Roman"/>
          <w:bCs/>
          <w:sz w:val="28"/>
          <w:szCs w:val="28"/>
        </w:rPr>
        <w:t xml:space="preserve"> под «общими условиями обращения товара на товарном рынке» могут </w:t>
      </w:r>
      <w:r>
        <w:rPr>
          <w:rFonts w:eastAsia="Times New Roman" w:cs="Times New Roman" w:ascii="Times New Roman" w:hAnsi="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Pr>
          <w:rStyle w:val="Style20"/>
          <w:rFonts w:eastAsia="Times New Roman" w:cs="Times New Roman" w:ascii="Times New Roman" w:hAnsi="Times New Roman"/>
          <w:bCs/>
          <w:sz w:val="28"/>
          <w:szCs w:val="28"/>
          <w:lang w:eastAsia="ru-RU"/>
        </w:rPr>
        <w:footnoteReference w:id="11"/>
      </w:r>
      <w:r>
        <w:rPr>
          <w:rFonts w:eastAsia="Times New Roman" w:cs="Times New Roman" w:ascii="Times New Roman" w:hAnsi="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1.6. Значение объективной взаимосвязи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pPr>
        <w:pStyle w:val="Normal"/>
        <w:spacing w:lineRule="auto" w:line="240" w:before="0" w:after="0"/>
        <w:ind w:firstLine="851"/>
        <w:jc w:val="both"/>
        <w:rPr>
          <w:rFonts w:ascii="Times New Roman" w:hAnsi="Times New Roman" w:eastAsia="Calibri" w:cs="Times New Roman"/>
          <w:b/>
          <w:b/>
          <w:sz w:val="28"/>
          <w:szCs w:val="28"/>
        </w:rPr>
      </w:pPr>
      <w:r>
        <w:rPr>
          <w:rFonts w:eastAsia="Calibri" w:cs="Times New Roman" w:ascii="Times New Roman" w:hAnsi="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Pr>
          <w:rFonts w:eastAsia="Calibri" w:cs="Times New Roman" w:ascii="Times New Roman" w:hAnsi="Times New Roman"/>
          <w:bCs/>
          <w:sz w:val="28"/>
          <w:szCs w:val="28"/>
        </w:rPr>
        <w:t>объективной взаимосвязи</w:t>
      </w:r>
      <w:r>
        <w:rPr>
          <w:rFonts w:eastAsia="Calibri" w:cs="Times New Roman" w:ascii="Times New Roman" w:hAnsi="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pPr>
        <w:pStyle w:val="Normal"/>
        <w:spacing w:lineRule="auto" w:line="240" w:before="0" w:after="0"/>
        <w:ind w:firstLine="851"/>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Учитывая изложенное, следует отличать:</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Pr>
          <w:rFonts w:eastAsia="Calibri" w:cs="Times New Roman" w:ascii="Times New Roman" w:hAnsi="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Pr>
          <w:rFonts w:eastAsia="Calibri" w:cs="Times New Roman" w:ascii="Times New Roman" w:hAnsi="Times New Roman"/>
          <w:b/>
          <w:bCs/>
          <w:sz w:val="28"/>
          <w:szCs w:val="28"/>
        </w:rPr>
        <w:t xml:space="preserve"> не уточняет товарный рынок</w:t>
      </w:r>
      <w:r>
        <w:rPr>
          <w:rFonts w:eastAsia="Calibri" w:cs="Times New Roman" w:ascii="Times New Roman" w:hAnsi="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Pr>
          <w:rFonts w:eastAsia="Calibri" w:cs="Times New Roman" w:ascii="Times New Roman" w:hAnsi="Times New Roman"/>
          <w:bCs/>
          <w:sz w:val="28"/>
          <w:szCs w:val="28"/>
        </w:rPr>
        <w:t xml:space="preserve"> на которых покупатели</w:t>
      </w:r>
      <w:r>
        <w:rPr>
          <w:rFonts w:eastAsia="Calibri" w:cs="Times New Roman" w:ascii="Times New Roman" w:hAnsi="Times New Roman"/>
          <w:sz w:val="28"/>
          <w:szCs w:val="28"/>
        </w:rPr>
        <w:t xml:space="preserve"> </w:t>
      </w:r>
      <w:r>
        <w:rPr>
          <w:rFonts w:eastAsia="Calibri" w:cs="Times New Roman" w:ascii="Times New Roman" w:hAnsi="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pPr>
        <w:pStyle w:val="Normal"/>
        <w:spacing w:lineRule="auto" w:line="240" w:before="0" w:after="0"/>
        <w:ind w:firstLine="709"/>
        <w:jc w:val="both"/>
        <w:rPr>
          <w:rFonts w:ascii="Calibri" w:hAnsi="Calibri" w:eastAsia="Calibri" w:cs="Times New Roman"/>
        </w:rPr>
      </w:pPr>
      <w:r>
        <w:rPr>
          <w:rFonts w:eastAsia="Calibri" w:cs="Times New Roman" w:ascii="Times New Roman" w:hAnsi="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Pr>
          <w:rFonts w:eastAsia="Calibri" w:cs="Times New Roman" w:ascii="Times New Roman" w:hAnsi="Times New Roman"/>
          <w:b/>
          <w:sz w:val="28"/>
          <w:szCs w:val="28"/>
        </w:rPr>
        <w:t xml:space="preserve">иных рынках, на которых указанный субъект не доминирует. </w:t>
      </w:r>
      <w:r>
        <w:rPr>
          <w:rFonts w:eastAsia="Calibri" w:cs="Times New Roman" w:ascii="Times New Roman" w:hAnsi="Times New Roman"/>
          <w:sz w:val="28"/>
          <w:szCs w:val="28"/>
        </w:rPr>
        <w:t>В некоторых нормативных правовых актах</w:t>
      </w:r>
      <w:r>
        <w:rPr>
          <w:rStyle w:val="Style20"/>
          <w:rFonts w:eastAsia="Calibri" w:cs="Times New Roman" w:ascii="Times New Roman" w:hAnsi="Times New Roman"/>
          <w:sz w:val="28"/>
          <w:szCs w:val="28"/>
        </w:rPr>
        <w:footnoteReference w:id="12"/>
      </w:r>
      <w:r>
        <w:rPr>
          <w:rFonts w:eastAsia="Calibri" w:cs="Times New Roman" w:ascii="Times New Roman" w:hAnsi="Times New Roman"/>
          <w:sz w:val="28"/>
          <w:szCs w:val="28"/>
        </w:rPr>
        <w:t xml:space="preserve"> такие взаимосвязанные рынки именуются «</w:t>
      </w:r>
      <w:r>
        <w:rPr>
          <w:rFonts w:eastAsia="Calibri" w:cs="Times New Roman" w:ascii="Times New Roman" w:hAnsi="Times New Roman"/>
          <w:b/>
          <w:i/>
          <w:sz w:val="28"/>
          <w:szCs w:val="28"/>
        </w:rPr>
        <w:t>смежными</w:t>
      </w:r>
      <w:r>
        <w:rPr>
          <w:rFonts w:eastAsia="Calibri" w:cs="Times New Roman" w:ascii="Times New Roman" w:hAnsi="Times New Roman"/>
          <w:sz w:val="28"/>
          <w:szCs w:val="28"/>
        </w:rPr>
        <w:t xml:space="preserve">».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Особое внимание следует уделять </w:t>
      </w:r>
      <w:r>
        <w:rPr>
          <w:rFonts w:eastAsia="Calibri" w:cs="Times New Roman" w:ascii="Times New Roman" w:hAnsi="Times New Roman"/>
          <w:b/>
          <w:bCs/>
          <w:sz w:val="28"/>
          <w:szCs w:val="28"/>
        </w:rPr>
        <w:t>вопросам доказывания</w:t>
      </w:r>
      <w:r>
        <w:rPr>
          <w:rFonts w:eastAsia="Calibri" w:cs="Times New Roman" w:ascii="Times New Roman" w:hAnsi="Times New Roman"/>
          <w:bCs/>
          <w:sz w:val="28"/>
          <w:szCs w:val="28"/>
        </w:rPr>
        <w:t xml:space="preserve">, поскольку они имеют непосредственное влияние на правильность квалификации деяния. </w:t>
      </w:r>
    </w:p>
    <w:p>
      <w:pPr>
        <w:pStyle w:val="Normal"/>
        <w:spacing w:lineRule="auto" w:line="240" w:before="0" w:after="0"/>
        <w:ind w:firstLine="54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совершения действий (бездействия) на товарном рынке, где доминирует хозяйствующий субъект (далее – «рынок доминирования»);</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доминирующего положения хозяйствующего субъекта на указанном рынке</w:t>
      </w:r>
      <w:r>
        <w:rPr>
          <w:rStyle w:val="Style20"/>
          <w:rFonts w:eastAsia="Calibri" w:cs="Times New Roman" w:ascii="Times New Roman" w:hAnsi="Times New Roman"/>
          <w:bCs/>
          <w:sz w:val="28"/>
          <w:szCs w:val="28"/>
        </w:rPr>
        <w:footnoteReference w:id="13"/>
      </w:r>
      <w:r>
        <w:rPr>
          <w:rFonts w:eastAsia="Calibri" w:cs="Times New Roman" w:ascii="Times New Roman" w:hAnsi="Times New Roman"/>
          <w:bCs/>
          <w:sz w:val="28"/>
          <w:szCs w:val="28"/>
        </w:rPr>
        <w:t>;</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наступление или возможность наступления негативных последствий на ином (смежном) товарном рынке;</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объективная взаимосвязь между действиями (бездействием) субъекта</w:t>
      </w:r>
      <w:r>
        <w:rPr>
          <w:rFonts w:eastAsia="Calibri" w:cs="Times New Roman" w:ascii="Times New Roman" w:hAnsi="Times New Roman"/>
          <w:b/>
          <w:sz w:val="28"/>
          <w:szCs w:val="28"/>
        </w:rPr>
        <w:t xml:space="preserve"> </w:t>
      </w:r>
      <w:r>
        <w:rPr>
          <w:rFonts w:eastAsia="Calibri" w:cs="Times New Roman" w:ascii="Times New Roman" w:hAnsi="Times New Roman"/>
          <w:bCs/>
          <w:sz w:val="28"/>
          <w:szCs w:val="28"/>
        </w:rPr>
        <w:t>и наступлением или возможностью наступления негативных последствий на смежном рынке</w:t>
      </w:r>
      <w:r>
        <w:rPr>
          <w:rFonts w:eastAsia="Calibri" w:cs="Times New Roman" w:ascii="Times New Roman" w:hAnsi="Times New Roman"/>
          <w:b/>
          <w:sz w:val="28"/>
          <w:szCs w:val="28"/>
        </w:rPr>
        <w:t>.</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Необходимо отметить, что </w:t>
      </w:r>
      <w:r>
        <w:rPr>
          <w:rFonts w:eastAsia="Calibri" w:cs="Times New Roman" w:ascii="Times New Roman" w:hAnsi="Times New Roman"/>
          <w:b/>
          <w:bCs/>
          <w:sz w:val="28"/>
          <w:szCs w:val="28"/>
        </w:rPr>
        <w:t xml:space="preserve">ограничение конкуренции на смежных рынках может быть допустимо </w:t>
      </w:r>
      <w:r>
        <w:rPr>
          <w:rFonts w:eastAsia="Calibri" w:cs="Times New Roman" w:ascii="Times New Roman" w:hAnsi="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Антимонопольному органу следует в первую очередь установить, </w:t>
      </w:r>
      <w:r>
        <w:rPr>
          <w:rFonts w:eastAsia="Calibri" w:cs="Times New Roman" w:ascii="Times New Roman" w:hAnsi="Times New Roman"/>
          <w:b/>
          <w:bCs/>
          <w:sz w:val="28"/>
          <w:szCs w:val="28"/>
        </w:rPr>
        <w:t>на каком товарном рынке совершены рассматриваемые действия</w:t>
      </w:r>
      <w:r>
        <w:rPr>
          <w:rFonts w:eastAsia="Calibri" w:cs="Times New Roman" w:ascii="Times New Roman" w:hAnsi="Times New Roman"/>
          <w:bCs/>
          <w:sz w:val="28"/>
          <w:szCs w:val="28"/>
        </w:rPr>
        <w:t xml:space="preserve"> (бездействие) доминирующего хозяйствующего субъекта.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в виде</w:t>
      </w:r>
      <w:r>
        <w:rPr>
          <w:rFonts w:eastAsia="Calibri" w:cs="Times New Roman" w:ascii="Times New Roman" w:hAnsi="Times New Roman"/>
          <w:b/>
          <w:sz w:val="28"/>
          <w:szCs w:val="28"/>
        </w:rPr>
        <w:t xml:space="preserve"> </w:t>
      </w:r>
      <w:r>
        <w:rPr>
          <w:rFonts w:cs="Times New Roman" w:ascii="Times New Roman" w:hAnsi="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Pr>
          <w:rFonts w:eastAsia="Calibri" w:cs="Times New Roman" w:ascii="Times New Roman" w:hAnsi="Times New Roman"/>
          <w:sz w:val="28"/>
          <w:szCs w:val="28"/>
        </w:rPr>
        <w:t xml:space="preserve">) на другом.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которые являются необходимым дополнением при потреблении либо реализации иных товаров (работ, услуг).</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Pr>
          <w:rFonts w:eastAsia="Calibri" w:cs="Times New Roman" w:ascii="Times New Roman" w:hAnsi="Times New Roman"/>
          <w:b/>
          <w:bCs/>
          <w:i/>
          <w:sz w:val="28"/>
          <w:szCs w:val="28"/>
        </w:rPr>
        <w:t>присутствие доминирующего субъекта как участника одновременно двух смежных товарных рынках.</w:t>
      </w:r>
      <w:r>
        <w:rPr>
          <w:rFonts w:eastAsia="Calibri" w:cs="Times New Roman" w:ascii="Times New Roman" w:hAnsi="Times New Roman"/>
          <w:bCs/>
          <w:sz w:val="28"/>
          <w:szCs w:val="28"/>
        </w:rPr>
        <w:t xml:space="preserve"> В случае, когда доминирующий хозяйствующий субъект одновременно действует на двух рынках, он может:</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Pr>
          <w:rFonts w:eastAsia="Calibri" w:cs="Times New Roman" w:ascii="Times New Roman" w:hAnsi="Times New Roman"/>
          <w:bCs/>
          <w:i/>
          <w:iCs/>
          <w:sz w:val="28"/>
          <w:szCs w:val="28"/>
        </w:rPr>
        <w:t>менее</w:t>
      </w:r>
      <w:r>
        <w:rPr>
          <w:rFonts w:eastAsia="Calibri" w:cs="Times New Roman" w:ascii="Times New Roman" w:hAnsi="Times New Roman"/>
          <w:bCs/>
          <w:sz w:val="28"/>
          <w:szCs w:val="28"/>
        </w:rPr>
        <w:t xml:space="preserve"> 50% на рынке пропуска местного трафика и с долей значительно </w:t>
      </w:r>
      <w:r>
        <w:rPr>
          <w:rFonts w:eastAsia="Calibri" w:cs="Times New Roman" w:ascii="Times New Roman" w:hAnsi="Times New Roman"/>
          <w:bCs/>
          <w:i/>
          <w:iCs/>
          <w:sz w:val="28"/>
          <w:szCs w:val="28"/>
        </w:rPr>
        <w:t>больше</w:t>
      </w:r>
      <w:r>
        <w:rPr>
          <w:rFonts w:eastAsia="Calibri" w:cs="Times New Roman" w:ascii="Times New Roman" w:hAnsi="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Влияние </w:t>
      </w:r>
      <w:r>
        <w:rPr>
          <w:rFonts w:eastAsia="Calibri" w:cs="Times New Roman" w:ascii="Times New Roman" w:hAnsi="Times New Roman"/>
          <w:bCs/>
          <w:i/>
          <w:iCs/>
          <w:sz w:val="28"/>
          <w:szCs w:val="28"/>
        </w:rPr>
        <w:t>на предложение</w:t>
      </w:r>
      <w:r>
        <w:rPr>
          <w:rFonts w:eastAsia="Calibri" w:cs="Times New Roman" w:ascii="Times New Roman" w:hAnsi="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Такие примеры на рынках услуг связи рассмотрены выше. Действия могут также оказывать влияние </w:t>
      </w:r>
      <w:r>
        <w:rPr>
          <w:rFonts w:eastAsia="Calibri" w:cs="Times New Roman" w:ascii="Times New Roman" w:hAnsi="Times New Roman"/>
          <w:bCs/>
          <w:i/>
          <w:iCs/>
          <w:sz w:val="28"/>
          <w:szCs w:val="28"/>
        </w:rPr>
        <w:t>на спрос</w:t>
      </w:r>
      <w:r>
        <w:rPr>
          <w:rFonts w:eastAsia="Calibri" w:cs="Times New Roman" w:ascii="Times New Roman" w:hAnsi="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Следует отметить возможность создания доминирующим хозяйствующим субъектом </w:t>
      </w:r>
      <w:r>
        <w:rPr>
          <w:rFonts w:eastAsia="Calibri" w:cs="Times New Roman" w:ascii="Times New Roman" w:hAnsi="Times New Roman"/>
          <w:b/>
          <w:bCs/>
          <w:sz w:val="28"/>
          <w:szCs w:val="28"/>
        </w:rPr>
        <w:t>препятствий доступу на товарный рынок.</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Pr>
          <w:rFonts w:eastAsia="Calibri" w:cs="Times New Roman" w:ascii="Times New Roman" w:hAnsi="Times New Roman"/>
          <w:bCs/>
          <w:i/>
          <w:sz w:val="28"/>
          <w:szCs w:val="28"/>
        </w:rPr>
        <w:t>двухуровневой системы</w:t>
      </w:r>
      <w:r>
        <w:rPr>
          <w:rFonts w:eastAsia="Calibri" w:cs="Times New Roman" w:ascii="Times New Roman" w:hAnsi="Times New Roman"/>
          <w:bCs/>
          <w:sz w:val="28"/>
          <w:szCs w:val="28"/>
        </w:rPr>
        <w:t>: оптовый и розничные рынки.</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Из позиции Президиума Высшего Арбитражного Суда Российской Федерации</w:t>
      </w:r>
      <w:r>
        <w:rPr>
          <w:rStyle w:val="Style20"/>
          <w:rFonts w:eastAsia="Calibri" w:cs="Times New Roman" w:ascii="Times New Roman" w:hAnsi="Times New Roman"/>
          <w:bCs/>
          <w:sz w:val="28"/>
          <w:szCs w:val="28"/>
        </w:rPr>
        <w:footnoteReference w:id="14"/>
      </w:r>
      <w:r>
        <w:rPr>
          <w:rFonts w:eastAsia="Calibri" w:cs="Times New Roman" w:ascii="Times New Roman" w:hAnsi="Times New Roman"/>
          <w:bCs/>
          <w:sz w:val="28"/>
          <w:szCs w:val="28"/>
        </w:rPr>
        <w:t xml:space="preserve"> следует, что при квалификации деяния со сходными фактическими обстоятельствами важно: </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Возможны ситуации, когда </w:t>
      </w:r>
      <w:r>
        <w:rPr>
          <w:rFonts w:eastAsia="Calibri" w:cs="Times New Roman" w:ascii="Times New Roman" w:hAnsi="Times New Roman"/>
          <w:b/>
          <w:bCs/>
          <w:i/>
          <w:sz w:val="28"/>
          <w:szCs w:val="28"/>
        </w:rPr>
        <w:t>доминирующий хозяйствующий субъект оказывает влияние на смежные товарные рынки, на которых он не присутствует.</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наличие доминирующего положения у хозяйствующего субъекта на рынке доминирования;</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наличие потребительского спроса на товар на смежном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Рассматриваемая форма злоупотребления доминирующим положением ограничена и разделена на два самостоятельных состава: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а) ущемление интересов других лиц (хозяйствующих субъектов) в сфере предпринимательской деятельности;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б) ущемление интересов неопределенного круга потребителей.</w:t>
      </w:r>
    </w:p>
    <w:p>
      <w:pPr>
        <w:pStyle w:val="Normal"/>
        <w:spacing w:lineRule="auto" w:line="240" w:before="0" w:after="0"/>
        <w:ind w:firstLine="709"/>
        <w:jc w:val="both"/>
        <w:rPr>
          <w:rFonts w:ascii="Times New Roman" w:hAnsi="Times New Roman" w:eastAsia="Calibri" w:cs="Times New Roman"/>
          <w:i/>
          <w:i/>
          <w:sz w:val="28"/>
          <w:szCs w:val="28"/>
        </w:rPr>
      </w:pPr>
      <w:r>
        <w:rPr>
          <w:rFonts w:eastAsia="Calibri" w:cs="Times New Roman" w:ascii="Times New Roman" w:hAnsi="Times New Roman"/>
          <w:i/>
          <w:sz w:val="28"/>
          <w:szCs w:val="28"/>
        </w:rPr>
        <w:t>Применительно к ущемлению интересов хозяйствующих субъектов в сфере предпринимательской деятельности.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 xml:space="preserve">Примером описываемой ситуации может являться дело № А06-4111/2015. </w:t>
      </w:r>
      <w:r>
        <w:rPr>
          <w:rFonts w:eastAsia="Times New Roman" w:cs="Times New Roman" w:ascii="Times New Roman" w:hAnsi="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Pr>
          <w:rFonts w:eastAsia="Times New Roman" w:cs="Times New Roman" w:ascii="Times New Roman" w:hAnsi="Times New Roman"/>
          <w:sz w:val="28"/>
          <w:szCs w:val="28"/>
          <w:lang w:eastAsia="ru-RU"/>
        </w:rPr>
        <w:t xml:space="preserve"> 301-КГ16-1511 по делу № А82-777/2015</w:t>
      </w:r>
      <w:r>
        <w:rPr>
          <w:rFonts w:eastAsia="Calibri" w:cs="Times New Roman" w:ascii="Times New Roman" w:hAnsi="Times New Roman"/>
          <w:sz w:val="28"/>
          <w:szCs w:val="28"/>
        </w:rPr>
        <w:t>) при условии, что ущемление не будет затрагивать неопределенный круг потребителей.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pPr>
        <w:pStyle w:val="Normal"/>
        <w:spacing w:lineRule="auto" w:line="240" w:before="0" w:after="0"/>
        <w:ind w:firstLine="709"/>
        <w:jc w:val="both"/>
        <w:rPr>
          <w:rFonts w:ascii="Times New Roman" w:hAnsi="Times New Roman" w:eastAsia="Calibri" w:cs="Times New Roman"/>
          <w:i/>
          <w:i/>
          <w:sz w:val="28"/>
          <w:szCs w:val="28"/>
        </w:rPr>
      </w:pPr>
      <w:r>
        <w:rPr>
          <w:rFonts w:eastAsia="Calibri" w:cs="Times New Roman" w:ascii="Times New Roman" w:hAnsi="Times New Roman"/>
          <w:i/>
          <w:sz w:val="28"/>
          <w:szCs w:val="28"/>
        </w:rPr>
        <w:t>Применительно к ущемлению интересов неопределенного круга потребителей.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Pr>
          <w:rStyle w:val="Style20"/>
          <w:rFonts w:eastAsia="Times New Roman" w:cs="Times New Roman" w:ascii="Times New Roman" w:hAnsi="Times New Roman"/>
          <w:sz w:val="28"/>
          <w:szCs w:val="28"/>
          <w:lang w:eastAsia="ru-RU"/>
        </w:rPr>
        <w:footnoteReference w:id="15"/>
      </w:r>
      <w:r>
        <w:rPr>
          <w:rFonts w:eastAsia="Times New Roman" w:cs="Times New Roman" w:ascii="Times New Roman" w:hAnsi="Times New Roman"/>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pPr>
        <w:pStyle w:val="Normal"/>
        <w:spacing w:lineRule="auto" w:line="240" w:before="0" w:after="0"/>
        <w:ind w:firstLine="709"/>
        <w:jc w:val="both"/>
        <w:rPr>
          <w:rFonts w:ascii="Times New Roman" w:hAnsi="Times New Roman" w:eastAsia="Calibri" w:cs="Times New Roman"/>
          <w:b/>
          <w:b/>
          <w:sz w:val="28"/>
          <w:szCs w:val="28"/>
        </w:rPr>
      </w:pPr>
      <w:r>
        <w:rPr>
          <w:rFonts w:eastAsia="Calibri" w:cs="Times New Roman" w:ascii="Times New Roman" w:hAnsi="Times New Roman"/>
          <w:b/>
          <w:sz w:val="28"/>
          <w:szCs w:val="28"/>
        </w:rPr>
        <w:t>4. Предупреждение о прекращении злоупотребления доминирующим положением</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Pr>
          <w:rStyle w:val="Style20"/>
          <w:rFonts w:eastAsia="Times New Roman" w:cs="Times New Roman" w:ascii="Times New Roman" w:hAnsi="Times New Roman"/>
          <w:sz w:val="28"/>
          <w:szCs w:val="28"/>
        </w:rPr>
        <w:footnoteReference w:id="16"/>
      </w:r>
      <w:r>
        <w:rPr>
          <w:rFonts w:eastAsia="Times New Roman" w:cs="Times New Roman" w:ascii="Times New Roman" w:hAnsi="Times New Roman"/>
          <w:sz w:val="28"/>
          <w:szCs w:val="28"/>
        </w:rPr>
        <w:t xml:space="preserve"> предусмотрена выдача предупреждений в случае выявления признаков нарушения доминирующим субъектом также: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пункта 8 части 1 статьи 10 Закона о защите конкуренции (создание дискриминационных условий).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соответствии с частью 4 статьи 39¹ Закона о защите конкуренции предупреждение должно содержать:</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 выводы о наличии оснований для его выдачи;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pPr>
        <w:pStyle w:val="Normal"/>
        <w:spacing w:lineRule="auto" w:line="240" w:before="0" w:after="0"/>
        <w:ind w:firstLine="709"/>
        <w:jc w:val="both"/>
        <w:rPr/>
      </w:pPr>
      <w:r>
        <w:rPr>
          <w:rFonts w:eastAsia="Calibri" w:cs="Times New Roman" w:ascii="Times New Roman" w:hAnsi="Times New Roman"/>
          <w:sz w:val="28"/>
          <w:szCs w:val="28"/>
        </w:rPr>
        <w:t xml:space="preserve">Приказом ФАС России от 22.01.2016 № 57/16 утвержден </w:t>
      </w:r>
      <w:hyperlink r:id="rId26">
        <w:r>
          <w:rPr>
            <w:rStyle w:val="Style16"/>
            <w:rFonts w:eastAsia="Calibri" w:cs="Times New Roman" w:ascii="Times New Roman" w:hAnsi="Times New Roman"/>
            <w:sz w:val="28"/>
            <w:szCs w:val="28"/>
          </w:rPr>
          <w:t>Порядок</w:t>
        </w:r>
      </w:hyperlink>
      <w:r>
        <w:rPr>
          <w:rFonts w:eastAsia="Calibri" w:cs="Times New Roman" w:ascii="Times New Roman" w:hAnsi="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Полнота и этапы</w:t>
      </w:r>
      <w:r>
        <w:rPr>
          <w:rFonts w:eastAsia="Times New Roman" w:cs="Times New Roman" w:ascii="Times New Roman" w:hAnsi="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Поскольку в соответствии с пунктом 1 части 4 статьи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Антимонопольному органу следует учитывать, что ч. 5 ст.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pPr>
        <w:pStyle w:val="Normal"/>
        <w:spacing w:lineRule="auto" w:line="240" w:before="0" w:after="0"/>
        <w:ind w:firstLine="709"/>
        <w:jc w:val="both"/>
        <w:rPr>
          <w:rFonts w:ascii="Times New Roman" w:hAnsi="Times New Roman" w:eastAsia="Times New Roman" w:cs="Times New Roman"/>
          <w:i/>
          <w:i/>
          <w:sz w:val="28"/>
          <w:szCs w:val="28"/>
          <w:lang w:eastAsia="ru-RU"/>
        </w:rPr>
      </w:pPr>
      <w:r>
        <w:rPr>
          <w:rFonts w:eastAsia="Calibri" w:cs="Times New Roman" w:ascii="Times New Roman" w:hAnsi="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Кроме того, в случае выявления</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Pr>
          <w:rFonts w:eastAsia="Calibri" w:cs="Times New Roman" w:ascii="Times New Roman" w:hAnsi="Times New Roman"/>
          <w:b/>
          <w:sz w:val="28"/>
          <w:szCs w:val="28"/>
        </w:rPr>
        <w:t>антимонопольный орган вправе выделить дело в отдельное производство.</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 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Pr>
          <w:rFonts w:eastAsia="Calibri" w:cs="Times New Roman" w:ascii="Times New Roman" w:hAnsi="Times New Roman"/>
          <w:sz w:val="28"/>
          <w:szCs w:val="28"/>
          <w:vertAlign w:val="superscript"/>
        </w:rPr>
        <w:t xml:space="preserve">1 </w:t>
      </w:r>
      <w:r>
        <w:rPr>
          <w:rFonts w:eastAsia="Calibri" w:cs="Times New Roman" w:ascii="Times New Roman" w:hAnsi="Times New Roman"/>
          <w:sz w:val="28"/>
          <w:szCs w:val="28"/>
        </w:rPr>
        <w:t>Закона о защите конкуренции.</w:t>
      </w:r>
    </w:p>
    <w:p>
      <w:pPr>
        <w:pStyle w:val="Normal"/>
        <w:spacing w:lineRule="auto" w:line="240" w:before="0" w:after="0"/>
        <w:ind w:firstLine="708"/>
        <w:jc w:val="both"/>
        <w:rPr>
          <w:rFonts w:ascii="Times New Roman" w:hAnsi="Times New Roman" w:eastAsia="Calibri" w:cs="Times New Roman"/>
          <w:b/>
          <w:b/>
          <w:sz w:val="28"/>
          <w:szCs w:val="28"/>
        </w:rPr>
      </w:pPr>
      <w:r>
        <w:rPr>
          <w:rFonts w:eastAsia="Calibri" w:cs="Times New Roman" w:ascii="Times New Roman" w:hAnsi="Times New Roman"/>
          <w:sz w:val="28"/>
          <w:szCs w:val="28"/>
        </w:rPr>
        <w:t xml:space="preserve">Необходимо отметить, что законодательством установлен ряд </w:t>
      </w:r>
      <w:r>
        <w:rPr>
          <w:rFonts w:eastAsia="Calibri" w:cs="Times New Roman" w:ascii="Times New Roman" w:hAnsi="Times New Roman"/>
          <w:b/>
          <w:sz w:val="28"/>
          <w:szCs w:val="28"/>
        </w:rPr>
        <w:t>требований к предупреждению.</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Pr>
          <w:rFonts w:eastAsia="Calibri" w:cs="Times New Roman" w:ascii="Times New Roman" w:hAnsi="Times New Roman"/>
          <w:bCs/>
          <w:sz w:val="28"/>
          <w:szCs w:val="28"/>
        </w:rPr>
        <w:t>недопустимость</w:t>
      </w:r>
      <w:r>
        <w:rPr>
          <w:rFonts w:eastAsia="Calibri" w:cs="Times New Roman" w:ascii="Times New Roman" w:hAnsi="Times New Roman"/>
          <w:sz w:val="28"/>
          <w:szCs w:val="28"/>
        </w:rPr>
        <w:t xml:space="preserve"> как неоправданного сокращения срока для выполнения таких действий, так и </w:t>
      </w:r>
      <w:r>
        <w:rPr>
          <w:rFonts w:eastAsia="Calibri" w:cs="Times New Roman" w:ascii="Times New Roman" w:hAnsi="Times New Roman"/>
          <w:bCs/>
          <w:sz w:val="28"/>
          <w:szCs w:val="28"/>
        </w:rPr>
        <w:t>неоправданного увеличения этих сроков.</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отметить ряд важных факторов, касающихся предупреждений в целом.</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w:t>
      </w:r>
      <w:r>
        <w:rPr>
          <w:rFonts w:eastAsia="Times New Roman" w:cs="Times New Roman" w:ascii="Times New Roman" w:hAnsi="Times New Roman"/>
          <w:sz w:val="28"/>
          <w:szCs w:val="28"/>
          <w:lang w:eastAsia="ru-RU"/>
        </w:rPr>
        <w:t>. Важность соблюдения формальных требований:</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форма предупреждений обязательно должна соответствовать форме, утвержденной Порядком № 57/16;</w:t>
        <w:tab/>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предупреждениях обязательно должен быть указан срок их исполнения;</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II</w:t>
      </w:r>
      <w:r>
        <w:rPr>
          <w:rFonts w:eastAsia="Times New Roman" w:cs="Times New Roman" w:ascii="Times New Roman" w:hAnsi="Times New Roman"/>
          <w:sz w:val="28"/>
          <w:szCs w:val="28"/>
          <w:lang w:eastAsia="ru-RU"/>
        </w:rPr>
        <w:t>. Важность соблюдения содержательных требований:</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должны быть исполнимыми.</w:t>
      </w:r>
    </w:p>
    <w:p>
      <w:pPr>
        <w:pStyle w:val="Normal"/>
        <w:spacing w:lineRule="auto"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Необходимо отметить ряд особенностей, связанных </w:t>
      </w:r>
      <w:r>
        <w:rPr>
          <w:rFonts w:eastAsia="Times New Roman" w:cs="Times New Roman" w:ascii="Times New Roman" w:hAnsi="Times New Roman"/>
          <w:b/>
          <w:sz w:val="28"/>
          <w:szCs w:val="28"/>
          <w:lang w:eastAsia="ru-RU"/>
        </w:rPr>
        <w:t>с обжалованием предупреждения в судебном порядке.</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27">
        <w:r>
          <w:rPr>
            <w:rStyle w:val="Style16"/>
            <w:rFonts w:eastAsia="Times New Roman" w:cs="Times New Roman" w:ascii="Times New Roman" w:hAnsi="Times New Roman"/>
            <w:sz w:val="28"/>
            <w:szCs w:val="28"/>
            <w:lang w:eastAsia="ru-RU"/>
          </w:rPr>
          <w:t>части 1 статьи 198</w:t>
        </w:r>
      </w:hyperlink>
      <w:r>
        <w:rPr>
          <w:rFonts w:eastAsia="Times New Roman" w:cs="Times New Roman" w:ascii="Times New Roman" w:hAnsi="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28">
        <w:r>
          <w:rPr>
            <w:rStyle w:val="Style16"/>
            <w:rFonts w:eastAsia="Times New Roman" w:cs="Times New Roman" w:ascii="Times New Roman" w:hAnsi="Times New Roman"/>
            <w:sz w:val="28"/>
            <w:szCs w:val="28"/>
            <w:lang w:eastAsia="ru-RU"/>
          </w:rPr>
          <w:t>главы 24</w:t>
        </w:r>
      </w:hyperlink>
      <w:r>
        <w:rPr>
          <w:rFonts w:eastAsia="Times New Roman" w:cs="Times New Roman" w:ascii="Times New Roman" w:hAnsi="Times New Roman"/>
          <w:sz w:val="28"/>
          <w:szCs w:val="28"/>
          <w:lang w:eastAsia="ru-RU"/>
        </w:rPr>
        <w:t xml:space="preserve"> АПК РФ, поскольку принято уполномоченным государственным органом на основании </w:t>
      </w:r>
      <w:hyperlink r:id="rId29">
        <w:r>
          <w:rPr>
            <w:rStyle w:val="Style16"/>
            <w:rFonts w:eastAsia="Times New Roman" w:cs="Times New Roman" w:ascii="Times New Roman" w:hAnsi="Times New Roman"/>
            <w:sz w:val="28"/>
            <w:szCs w:val="28"/>
            <w:lang w:eastAsia="ru-RU"/>
          </w:rPr>
          <w:t>статей 22</w:t>
        </w:r>
      </w:hyperlink>
      <w:r>
        <w:rPr>
          <w:rFonts w:eastAsia="Times New Roman" w:cs="Times New Roman" w:ascii="Times New Roman" w:hAnsi="Times New Roman"/>
          <w:sz w:val="28"/>
          <w:szCs w:val="28"/>
          <w:lang w:eastAsia="ru-RU"/>
        </w:rPr>
        <w:t xml:space="preserve"> и 39</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Pr>
          <w:rStyle w:val="Style20"/>
          <w:rFonts w:eastAsia="Times New Roman" w:cs="Times New Roman" w:ascii="Times New Roman" w:hAnsi="Times New Roman"/>
          <w:sz w:val="28"/>
          <w:szCs w:val="28"/>
          <w:lang w:eastAsia="ru-RU"/>
        </w:rPr>
        <w:footnoteReference w:id="17"/>
      </w:r>
      <w:r>
        <w:rPr>
          <w:rFonts w:eastAsia="Times New Roman" w:cs="Times New Roman" w:ascii="Times New Roman" w:hAnsi="Times New Roman"/>
          <w:sz w:val="28"/>
          <w:szCs w:val="28"/>
          <w:lang w:eastAsia="ru-RU"/>
        </w:rPr>
        <w:t>.</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При этом, поскольку предупреждение выносится при обнаружении лишь признаков правонарушения, а не его факта (</w:t>
      </w:r>
      <w:hyperlink r:id="rId30">
        <w:r>
          <w:rPr>
            <w:rStyle w:val="Style16"/>
            <w:rFonts w:eastAsia="Calibri" w:cs="Times New Roman" w:ascii="Times New Roman" w:hAnsi="Times New Roman"/>
            <w:sz w:val="28"/>
            <w:szCs w:val="28"/>
          </w:rPr>
          <w:t>часть 2 статьи 39</w:t>
        </w:r>
        <w:r>
          <w:rPr>
            <w:rStyle w:val="Style16"/>
            <w:rFonts w:eastAsia="Calibri" w:cs="Times New Roman" w:ascii="Times New Roman" w:hAnsi="Times New Roman"/>
            <w:sz w:val="28"/>
            <w:szCs w:val="28"/>
            <w:vertAlign w:val="superscript"/>
          </w:rPr>
          <w:t>1</w:t>
        </w:r>
      </w:hyperlink>
      <w:r>
        <w:rPr>
          <w:rFonts w:eastAsia="Calibri" w:cs="Times New Roman" w:ascii="Times New Roman" w:hAnsi="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Pr>
          <w:rStyle w:val="Style20"/>
          <w:rFonts w:eastAsia="Calibri" w:cs="Times New Roman" w:ascii="Times New Roman" w:hAnsi="Times New Roman"/>
          <w:sz w:val="28"/>
          <w:szCs w:val="28"/>
        </w:rPr>
        <w:footnoteReference w:id="18"/>
      </w:r>
      <w:r>
        <w:rPr>
          <w:rFonts w:eastAsia="Calibri" w:cs="Times New Roman" w:ascii="Times New Roman" w:hAnsi="Times New Roman"/>
          <w:sz w:val="28"/>
          <w:szCs w:val="28"/>
        </w:rPr>
        <w:t>.</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РАЗЪЯСНЕНИЯ № 9</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 ПОРЯДКЕ ПУБЛИКАЦИИ МЕЖДУНАРОДНЫМИ МОРСКИМИ КОНТЕЙНЕРНЫМИ ПЕРЕВОЗЧИКАМИ СТОИМОСТИ ПЕРЕВОЗКИ»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6"/>
        </w:numPr>
        <w:spacing w:lineRule="auto" w:line="240" w:before="0" w:after="0"/>
        <w:ind w:left="0" w:firstLine="709"/>
        <w:jc w:val="both"/>
        <w:rPr>
          <w:rFonts w:ascii="Times New Roman" w:hAnsi="Times New Roman" w:cs="Times New Roman"/>
          <w:b/>
          <w:b/>
          <w:sz w:val="28"/>
          <w:szCs w:val="28"/>
        </w:rPr>
      </w:pPr>
      <w:r>
        <w:rPr>
          <w:rFonts w:cs="Times New Roman" w:ascii="Times New Roman" w:hAnsi="Times New Roman"/>
          <w:b/>
          <w:sz w:val="28"/>
          <w:szCs w:val="28"/>
        </w:rPr>
        <w:t>Преамбула и Цели разъяснения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Учитывая положения антимонопольного законодательства Российской Федерации и в целях снижения рисков его нарушения путем совершения согласованных действий представляется целесообразным дать разъяснения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p>
    <w:p>
      <w:pPr>
        <w:pStyle w:val="Normal"/>
        <w:spacing w:lineRule="auto" w:line="240" w:before="0" w:after="0"/>
        <w:ind w:firstLine="709"/>
        <w:jc w:val="both"/>
        <w:rPr>
          <w:rFonts w:ascii="Times New Roman" w:hAnsi="Times New Roman" w:eastAsia="SimSun" w:cs="Times New Roman"/>
          <w:color w:val="000000"/>
          <w:sz w:val="28"/>
          <w:szCs w:val="28"/>
        </w:rPr>
      </w:pPr>
      <w:r>
        <w:rPr>
          <w:rFonts w:eastAsia="SimSun" w:cs="Times New Roman" w:ascii="Times New Roman" w:hAnsi="Times New Roman"/>
          <w:color w:val="000000"/>
          <w:sz w:val="28"/>
          <w:szCs w:val="28"/>
        </w:rPr>
      </w:r>
    </w:p>
    <w:p>
      <w:pPr>
        <w:pStyle w:val="ListParagraph"/>
        <w:numPr>
          <w:ilvl w:val="0"/>
          <w:numId w:val="6"/>
        </w:numPr>
        <w:spacing w:lineRule="auto" w:line="240" w:before="0" w:after="0"/>
        <w:ind w:left="0" w:firstLine="709"/>
        <w:jc w:val="both"/>
        <w:rPr>
          <w:rFonts w:ascii="Times New Roman" w:hAnsi="Times New Roman" w:eastAsia="SimSun" w:cs="Times New Roman"/>
          <w:b/>
          <w:b/>
          <w:color w:val="000000"/>
          <w:sz w:val="28"/>
          <w:szCs w:val="28"/>
        </w:rPr>
      </w:pPr>
      <w:r>
        <w:rPr>
          <w:rFonts w:eastAsia="SimSun" w:cs="Times New Roman" w:ascii="Times New Roman" w:hAnsi="Times New Roman"/>
          <w:b/>
          <w:color w:val="000000"/>
          <w:sz w:val="28"/>
          <w:szCs w:val="28"/>
        </w:rPr>
        <w:t>Термины и определения, используемый в настоящих разъяснениях</w:t>
      </w:r>
    </w:p>
    <w:p>
      <w:pPr>
        <w:pStyle w:val="Normal"/>
        <w:spacing w:lineRule="auto" w:line="240" w:before="0" w:after="0"/>
        <w:ind w:firstLine="709"/>
        <w:jc w:val="both"/>
        <w:rPr>
          <w:rFonts w:ascii="Times New Roman" w:hAnsi="Times New Roman" w:eastAsia="SimSun" w:cs="Times New Roman"/>
          <w:color w:val="000000"/>
          <w:sz w:val="28"/>
          <w:szCs w:val="28"/>
        </w:rPr>
      </w:pPr>
      <w:r>
        <w:rPr>
          <w:rFonts w:eastAsia="SimSun" w:cs="Times New Roman" w:ascii="Times New Roman" w:hAnsi="Times New Roman"/>
          <w:color w:val="000000"/>
          <w:sz w:val="28"/>
          <w:szCs w:val="28"/>
        </w:rPr>
        <w:t>Для целей настоящих Разъяснений приведенные ниже термины имеют следующее значение:</w:t>
      </w:r>
    </w:p>
    <w:p>
      <w:pPr>
        <w:pStyle w:val="Normal"/>
        <w:spacing w:lineRule="auto" w:line="240" w:before="0" w:after="0"/>
        <w:ind w:firstLine="709"/>
        <w:jc w:val="both"/>
        <w:rPr>
          <w:rFonts w:ascii="Times New Roman" w:hAnsi="Times New Roman" w:eastAsia="SimSun" w:cs="Times New Roman"/>
          <w:color w:val="000000"/>
          <w:sz w:val="28"/>
          <w:szCs w:val="28"/>
        </w:rPr>
      </w:pPr>
      <w:r>
        <w:rPr>
          <w:rFonts w:eastAsia="SimSun" w:cs="Times New Roman" w:ascii="Times New Roman" w:hAnsi="Times New Roman"/>
          <w:color w:val="000000"/>
          <w:sz w:val="28"/>
          <w:szCs w:val="28"/>
        </w:rPr>
        <w:t xml:space="preserve">«Цена» означает денежную сумму или суммы, по которым заключаются договоры морскими контейнерными перевозчиками за оказание услуг морских линейных контейнерных перевозок грузов, </w:t>
      </w:r>
      <w:r>
        <w:rPr>
          <w:rFonts w:cs="Times New Roman" w:ascii="Times New Roman" w:hAnsi="Times New Roman"/>
          <w:sz w:val="28"/>
          <w:szCs w:val="28"/>
        </w:rPr>
        <w:t>если портом погрузки и (или) портом выгрузки грузов являются порты Российской Федерации</w:t>
      </w:r>
      <w:r>
        <w:rPr>
          <w:rFonts w:eastAsia="SimSun" w:cs="Times New Roman" w:ascii="Times New Roman" w:hAnsi="Times New Roman"/>
          <w:color w:val="000000"/>
          <w:sz w:val="28"/>
          <w:szCs w:val="28"/>
        </w:rPr>
        <w:t>.</w:t>
      </w:r>
    </w:p>
    <w:p>
      <w:pPr>
        <w:pStyle w:val="NormalWeb"/>
        <w:spacing w:lineRule="auto" w:line="240" w:beforeAutospacing="0" w:before="0" w:after="0"/>
        <w:ind w:firstLine="709"/>
        <w:jc w:val="both"/>
        <w:rPr>
          <w:color w:val="000000"/>
          <w:sz w:val="28"/>
          <w:szCs w:val="28"/>
        </w:rPr>
      </w:pPr>
      <w:r>
        <w:rPr>
          <w:color w:val="000000"/>
          <w:sz w:val="28"/>
          <w:szCs w:val="28"/>
        </w:rPr>
        <w:t xml:space="preserve">«Публикация» означает распространение морскими контейнерными перевозчиками информации, </w:t>
      </w:r>
      <w:r>
        <w:rPr>
          <w:bCs/>
          <w:color w:val="000000"/>
          <w:sz w:val="28"/>
          <w:szCs w:val="28"/>
        </w:rPr>
        <w:t xml:space="preserve">в том числе размещение информации на своем официальном сайте в </w:t>
      </w:r>
      <w:r>
        <w:rPr>
          <w:bCs/>
          <w:sz w:val="28"/>
          <w:szCs w:val="28"/>
        </w:rPr>
        <w:t>информационно-телекоммуникационной сети «Интернет»,</w:t>
      </w:r>
      <w:r>
        <w:rPr>
          <w:sz w:val="28"/>
          <w:szCs w:val="28"/>
        </w:rPr>
        <w:t xml:space="preserve"> </w:t>
      </w:r>
      <w:r>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pPr>
        <w:pStyle w:val="NormalWeb"/>
        <w:spacing w:lineRule="auto" w:line="240" w:beforeAutospacing="0" w:before="0" w:after="0"/>
        <w:ind w:firstLine="709"/>
        <w:jc w:val="both"/>
        <w:rPr>
          <w:sz w:val="28"/>
          <w:szCs w:val="28"/>
        </w:rPr>
      </w:pPr>
      <w:r>
        <w:rPr>
          <w:sz w:val="28"/>
          <w:szCs w:val="28"/>
        </w:rPr>
        <w:t>Не является Публикацией любая непубличная форма сообщения морскими контейнерными 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pPr>
        <w:pStyle w:val="NormalWeb"/>
        <w:spacing w:lineRule="auto" w:line="240" w:beforeAutospacing="0" w:before="0" w:after="0"/>
        <w:ind w:firstLine="709"/>
        <w:jc w:val="both"/>
        <w:rPr>
          <w:color w:val="000000"/>
          <w:sz w:val="28"/>
          <w:szCs w:val="28"/>
        </w:rPr>
      </w:pPr>
      <w:r>
        <w:rPr>
          <w:bCs/>
          <w:sz w:val="28"/>
          <w:szCs w:val="28"/>
        </w:rPr>
        <w:t xml:space="preserve"> </w:t>
      </w:r>
      <w:r>
        <w:rPr>
          <w:color w:val="000000"/>
          <w:sz w:val="28"/>
          <w:szCs w:val="28"/>
        </w:rPr>
        <w:t>«Приобретатель» означает потребителя услуг морских линейных контейнерных перевозок.</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6"/>
        </w:numPr>
        <w:spacing w:lineRule="auto" w:line="240" w:before="0" w:after="0"/>
        <w:ind w:left="720" w:firstLine="709"/>
        <w:jc w:val="both"/>
        <w:rPr>
          <w:rFonts w:ascii="Times New Roman" w:hAnsi="Times New Roman" w:cs="Times New Roman"/>
          <w:b/>
          <w:b/>
          <w:sz w:val="28"/>
          <w:szCs w:val="28"/>
        </w:rPr>
      </w:pPr>
      <w:r>
        <w:rPr>
          <w:rFonts w:cs="Times New Roman" w:ascii="Times New Roman" w:hAnsi="Times New Roman"/>
          <w:b/>
          <w:sz w:val="28"/>
          <w:szCs w:val="28"/>
        </w:rPr>
        <w:t>Рассматриваемые антимонопольные риски</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3.1.       В соответствии с пунктом 1 части 1 статьи 11</w:t>
      </w:r>
      <w:r>
        <w:rPr>
          <w:rFonts w:cs="Times New Roman" w:ascii="Times New Roman" w:hAnsi="Times New Roman"/>
          <w:sz w:val="28"/>
          <w:szCs w:val="28"/>
          <w:vertAlign w:val="superscript"/>
        </w:rPr>
        <w:t>1</w:t>
      </w:r>
      <w:r>
        <w:rPr>
          <w:rFonts w:cs="Times New Roman" w:ascii="Times New Roman" w:hAnsi="Times New Roman"/>
          <w:sz w:val="28"/>
          <w:szCs w:val="28"/>
        </w:rPr>
        <w:t xml:space="preserve"> Федерального закона от 26.07.2006 №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 соответствии с частью 1 статьи 8 Федерального закона от 26.07.2006 № 135-ФЗ «О защите конкуренции»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1) результат таких действий соответствует интересам каждого из указанных хозяйствующих субъектов;</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3.2 На рынке международных морских линейных контейнерных перевозок грузов публичным заявлением может являться Публикация морским контейнерным перевозчиком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«Интернет», в форме новостных рассылок и информационных бюллетеней для Потребителей.</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Такая форма доведения до потребителей информации о планируемом или возможном изменении Цен обеспечивает осведомленность морских контейнерных перевозчиков о ценовых намерениях друг друга, и, таким образом, создает предпосылки для совершения нарушения антимонопольного законодательства в виде запрещенных согласованных действий.</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3.3. Публикация сведений о планируемом или возможном изменении Цен на соответствующем направлении перевозок может являться элементом запрещенных согласованных действий при наличии совокупности следующих обстоятельств:</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Публикация касается ценовой политики в будущий период времени;</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после Публикации несколько конкурирующих морских контейнерных перевозчиков в сопоставимом размере изменили Цену в одинаковые или близкие даты;</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отсутствуют объективные причины для изменения Цены, в том числе обстоятельства, в равной мере влияющие на всех морских контейнерных перевозчиков на одном и том же направлении перевозок;</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контейнерного перевозчика(ов) обусловлены действиями конкурентов и не являются следствием обстоятельств, в равной степени влияющих на всех морских контейнерных перевозчиков.</w:t>
      </w:r>
    </w:p>
    <w:p>
      <w:pPr>
        <w:pStyle w:val="ListParagraph"/>
        <w:numPr>
          <w:ilvl w:val="0"/>
          <w:numId w:val="6"/>
        </w:numPr>
        <w:spacing w:lineRule="auto" w:line="240" w:before="0" w:after="0"/>
        <w:ind w:left="0" w:firstLine="709"/>
        <w:jc w:val="both"/>
        <w:rPr>
          <w:rFonts w:ascii="Times New Roman" w:hAnsi="Times New Roman" w:cs="Times New Roman"/>
          <w:b/>
          <w:b/>
          <w:sz w:val="28"/>
          <w:szCs w:val="28"/>
        </w:rPr>
      </w:pPr>
      <w:r>
        <w:rPr>
          <w:rFonts w:cs="Times New Roman" w:ascii="Times New Roman" w:hAnsi="Times New Roman"/>
          <w:b/>
          <w:sz w:val="28"/>
          <w:szCs w:val="28"/>
        </w:rPr>
        <w:t>Рекомендуемые правила</w:t>
      </w:r>
    </w:p>
    <w:p>
      <w:pPr>
        <w:pStyle w:val="NormalWeb"/>
        <w:numPr>
          <w:ilvl w:val="1"/>
          <w:numId w:val="6"/>
        </w:numPr>
        <w:spacing w:lineRule="auto" w:line="240" w:beforeAutospacing="0" w:before="0" w:after="0"/>
        <w:ind w:left="0" w:firstLine="709"/>
        <w:jc w:val="both"/>
        <w:rPr>
          <w:sz w:val="28"/>
          <w:szCs w:val="28"/>
        </w:rPr>
      </w:pPr>
      <w:r>
        <w:rPr>
          <w:sz w:val="28"/>
          <w:szCs w:val="28"/>
        </w:rPr>
        <w:t xml:space="preserve">     </w:t>
      </w:r>
      <w:r>
        <w:rPr>
          <w:sz w:val="28"/>
          <w:szCs w:val="28"/>
        </w:rPr>
        <w:t xml:space="preserve">Морским контейнерным перевозчикам при принятии любых решений в отношении изменения Цены или ее отдельных элементов необходимо 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pPr>
        <w:pStyle w:val="NormalWeb"/>
        <w:numPr>
          <w:ilvl w:val="1"/>
          <w:numId w:val="6"/>
        </w:numPr>
        <w:spacing w:lineRule="auto" w:line="240" w:beforeAutospacing="0" w:before="0" w:after="0"/>
        <w:ind w:left="0" w:firstLine="709"/>
        <w:jc w:val="both"/>
        <w:rPr>
          <w:sz w:val="28"/>
          <w:szCs w:val="28"/>
        </w:rPr>
      </w:pPr>
      <w:r>
        <w:rPr>
          <w:sz w:val="28"/>
          <w:szCs w:val="28"/>
        </w:rPr>
        <w:t xml:space="preserve">     </w:t>
      </w:r>
      <w:r>
        <w:rPr>
          <w:sz w:val="28"/>
          <w:szCs w:val="28"/>
        </w:rPr>
        <w:t>При осуществлении Публикаций о планируемом или возможном изменении Цены или элементов Цены (в частности, Публикаций General Rate Increase), морским контейнерным 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таких Публикаций Цены различных перевозчиков на одних и тех же направлениях перевозок или величина их увеличения в один и тот же период времени будут сопоставимы.</w:t>
      </w:r>
    </w:p>
    <w:p>
      <w:pPr>
        <w:pStyle w:val="NormalWeb"/>
        <w:numPr>
          <w:ilvl w:val="1"/>
          <w:numId w:val="6"/>
        </w:numPr>
        <w:spacing w:lineRule="auto" w:line="240" w:beforeAutospacing="0" w:before="0" w:after="0"/>
        <w:ind w:left="0" w:firstLine="709"/>
        <w:jc w:val="both"/>
        <w:rPr>
          <w:sz w:val="28"/>
          <w:szCs w:val="28"/>
        </w:rPr>
      </w:pPr>
      <w:r>
        <w:rPr>
          <w:sz w:val="28"/>
          <w:szCs w:val="28"/>
        </w:rPr>
        <w:t xml:space="preserve">     </w:t>
      </w:r>
      <w:r>
        <w:rPr>
          <w:sz w:val="28"/>
          <w:szCs w:val="28"/>
        </w:rPr>
        <w:t>Настоящие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pPr>
        <w:pStyle w:val="NormalWeb"/>
        <w:spacing w:lineRule="auto" w:line="240" w:beforeAutospacing="0" w:before="0" w:after="0"/>
        <w:jc w:val="both"/>
        <w:rPr>
          <w:sz w:val="28"/>
          <w:szCs w:val="28"/>
        </w:rPr>
      </w:pPr>
      <w:r>
        <w:rPr>
          <w:sz w:val="28"/>
          <w:szCs w:val="28"/>
        </w:rPr>
      </w:r>
    </w:p>
    <w:p>
      <w:pPr>
        <w:pStyle w:val="Normal"/>
        <w:numPr>
          <w:ilvl w:val="0"/>
          <w:numId w:val="0"/>
        </w:numPr>
        <w:spacing w:lineRule="auto" w:line="240" w:before="0" w:after="0"/>
        <w:jc w:val="center"/>
        <w:outlineLvl w:val="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eastAsia="ヒラギノ角ゴ Pro W3" w:cs="Times New Roman"/>
          <w:b/>
          <w:b/>
          <w:sz w:val="28"/>
          <w:szCs w:val="28"/>
        </w:rPr>
      </w:pPr>
      <w:r>
        <w:rPr>
          <w:rFonts w:eastAsia="Calibri" w:cs="Times New Roman" w:ascii="Times New Roman" w:hAnsi="Times New Roman"/>
          <w:b/>
          <w:sz w:val="28"/>
          <w:szCs w:val="28"/>
        </w:rPr>
        <w:t>РАЗЪЯСНЕНИЕ № 10</w:t>
      </w:r>
    </w:p>
    <w:p>
      <w:pPr>
        <w:pStyle w:val="Normal"/>
        <w:numPr>
          <w:ilvl w:val="0"/>
          <w:numId w:val="0"/>
        </w:numPr>
        <w:spacing w:lineRule="auto" w:line="240" w:before="0" w:after="0"/>
        <w:jc w:val="center"/>
        <w:outlineLvl w:val="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numPr>
          <w:ilvl w:val="0"/>
          <w:numId w:val="0"/>
        </w:numPr>
        <w:spacing w:lineRule="auto" w:line="240" w:before="0" w:after="0"/>
        <w:jc w:val="center"/>
        <w:outlineLvl w:val="0"/>
        <w:rPr>
          <w:rFonts w:ascii="Times New Roman" w:hAnsi="Times New Roman" w:eastAsia="ヒラギノ角ゴ Pro W3" w:cs="Times New Roman"/>
          <w:sz w:val="28"/>
          <w:szCs w:val="28"/>
          <w:u w:val="single"/>
        </w:rPr>
      </w:pPr>
      <w:r>
        <w:rPr>
          <w:rFonts w:eastAsia="Calibri" w:cs="Times New Roman" w:ascii="Times New Roman" w:hAnsi="Times New Roman"/>
          <w:b/>
          <w:sz w:val="28"/>
          <w:szCs w:val="28"/>
        </w:rPr>
        <w:t xml:space="preserve">«О ПРИМЕНЕНИИ АНТИМОНОПОЛЬНЫМИ ОРГАНАМИ АНТИМОНОПОЛЬНОГО ЗАКОНОДАТЕЛЬСТВА В ЦЕЛЯХ ВЫЯВЛЕНИЯ И ПРЕСЕЧЕНИЯ НАРУШЕНИЙ ПОРЯДКА ЦЕНООБРАЗОВАНИЯ»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 Понятие порядка ценообразования.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pPr>
        <w:pStyle w:val="Normal"/>
        <w:spacing w:lineRule="auto" w:line="240" w:before="0" w:after="0"/>
        <w:ind w:firstLine="709"/>
        <w:jc w:val="both"/>
        <w:rPr>
          <w:rFonts w:ascii="Times New Roman" w:hAnsi="Times New Roman" w:eastAsia="Times New Roman" w:cs="Times New Roman"/>
          <w:b/>
          <w:b/>
          <w:bCs/>
          <w:iCs/>
          <w:sz w:val="28"/>
          <w:szCs w:val="28"/>
          <w:lang w:eastAsia="ru-RU"/>
        </w:rPr>
      </w:pPr>
      <w:r>
        <w:rPr>
          <w:rFonts w:eastAsia="Times New Roman" w:cs="Times New Roman" w:ascii="Times New Roman" w:hAnsi="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Пунктом 10 части 1 статьи 10 Закона о защите конкуренции</w:t>
      </w:r>
      <w:r>
        <w:rPr>
          <w:rFonts w:eastAsia="Times New Roman" w:cs="Times New Roman" w:ascii="Times New Roman" w:hAnsi="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Pr>
          <w:rFonts w:eastAsia="Times New Roman" w:cs="Times New Roman" w:ascii="Times New Roman" w:hAnsi="Times New Roman"/>
          <w:b/>
          <w:sz w:val="28"/>
          <w:szCs w:val="28"/>
          <w:lang w:eastAsia="ru-RU"/>
        </w:rPr>
        <w:t>ст. 14.31 КоАП</w:t>
      </w:r>
      <w:r>
        <w:rPr>
          <w:rFonts w:eastAsia="Times New Roman" w:cs="Times New Roman" w:ascii="Times New Roman" w:hAnsi="Times New Roman"/>
          <w:sz w:val="28"/>
          <w:szCs w:val="28"/>
          <w:lang w:eastAsia="ru-RU"/>
        </w:rPr>
        <w:t>.</w:t>
      </w:r>
    </w:p>
    <w:p>
      <w:pPr>
        <w:pStyle w:val="Normal"/>
        <w:spacing w:lineRule="auto" w:line="240" w:before="0" w:after="0"/>
        <w:ind w:firstLine="544"/>
        <w:jc w:val="both"/>
        <w:rPr>
          <w:rFonts w:ascii="Times New Roman" w:hAnsi="Times New Roman" w:eastAsia="Times New Roman" w:cs="Times New Roman"/>
          <w:sz w:val="21"/>
          <w:szCs w:val="21"/>
          <w:lang w:eastAsia="ru-RU"/>
        </w:rPr>
      </w:pPr>
      <w:r>
        <w:rPr>
          <w:rFonts w:eastAsia="Calibri" w:cs="Times New Roman" w:ascii="Times New Roman" w:hAnsi="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Cs/>
          <w:color w:val="000000"/>
          <w:sz w:val="28"/>
          <w:szCs w:val="28"/>
          <w:lang w:eastAsia="ru-RU"/>
        </w:rPr>
        <w:t>Субъектом</w:t>
      </w: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bCs/>
          <w:color w:val="000000"/>
          <w:sz w:val="28"/>
          <w:szCs w:val="28"/>
          <w:lang w:eastAsia="ru-RU"/>
        </w:rPr>
        <w:t>данного правонарушения</w:t>
      </w:r>
      <w:r>
        <w:rPr>
          <w:rFonts w:eastAsia="Times New Roman" w:cs="Times New Roman" w:ascii="Times New Roman" w:hAnsi="Times New Roman"/>
          <w:color w:val="000000"/>
          <w:sz w:val="28"/>
          <w:szCs w:val="28"/>
          <w:lang w:eastAsia="ru-RU"/>
        </w:rPr>
        <w:t xml:space="preserve"> является хозяйствующий субъект, занимающий доминирующее положение на товарном рынке.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Статьей 14.6 КоАП</w:t>
      </w:r>
      <w:r>
        <w:rPr>
          <w:rFonts w:eastAsia="Times New Roman" w:cs="Times New Roman" w:ascii="Times New Roman" w:hAnsi="Times New Roman"/>
          <w:i/>
          <w:color w:val="000000"/>
          <w:sz w:val="28"/>
          <w:szCs w:val="28"/>
          <w:lang w:eastAsia="ru-RU"/>
        </w:rPr>
        <w:t xml:space="preserve"> </w:t>
      </w:r>
      <w:r>
        <w:rPr>
          <w:rFonts w:eastAsia="Times New Roman" w:cs="Times New Roman" w:ascii="Times New Roman" w:hAnsi="Times New Roman"/>
          <w:color w:val="000000"/>
          <w:sz w:val="28"/>
          <w:szCs w:val="28"/>
          <w:lang w:eastAsia="ru-RU"/>
        </w:rPr>
        <w:t>предусмотрена административная ответственность за нарушение порядка ценообразования.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Cs/>
          <w:color w:val="000000"/>
          <w:sz w:val="28"/>
          <w:szCs w:val="28"/>
          <w:lang w:eastAsia="ru-RU"/>
        </w:rPr>
        <w:t>Субъектами административного правонарушения</w:t>
      </w:r>
      <w:r>
        <w:rPr>
          <w:rFonts w:eastAsia="Times New Roman" w:cs="Times New Roman" w:ascii="Times New Roman" w:hAnsi="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1">
        <w:r>
          <w:rPr>
            <w:rStyle w:val="Style16"/>
            <w:rFonts w:eastAsia="Times New Roman" w:cs="Times New Roman" w:ascii="Times New Roman" w:hAnsi="Times New Roman"/>
            <w:sz w:val="28"/>
            <w:szCs w:val="28"/>
            <w:lang w:eastAsia="ru-RU"/>
          </w:rPr>
          <w:t>максимальной розничной цены</w:t>
        </w:r>
      </w:hyperlink>
      <w:r>
        <w:rPr>
          <w:rFonts w:eastAsia="Times New Roman" w:cs="Times New Roman" w:ascii="Times New Roman" w:hAnsi="Times New Roman"/>
          <w:sz w:val="28"/>
          <w:szCs w:val="28"/>
          <w:lang w:eastAsia="ru-RU"/>
        </w:rPr>
        <w:t>, указанной производителем на каждой потребительской упаковке (пачке);</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 нарушение установленного порядка регулирования цен (тарифов, расценок, ставок и тому подобного);</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4) иное нарушение установленного порядка ценообразования.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качестве нарушения, ответственность за которое предусмотрена статьей 14.6 КоАП, рассматриваются: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Ответственность за нарушение п. 10 ч. 1 ст. 10 Закона о защите конкуренции установлена статьей 14.31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Таким образом, положения ст. 14.31 КоАП являются специальными по отношению к ст. 14.6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постановление ФАС Восточно-Сибирского округа от 20.02.2014 по делу № А58-2490/2013;</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постановление ФАС Московского округа от 24.02.2012 по делу № А40-34990/11-139-245).</w:t>
      </w:r>
    </w:p>
    <w:p>
      <w:pPr>
        <w:pStyle w:val="Normal"/>
        <w:spacing w:lineRule="auto" w:line="240" w:before="0" w:after="0"/>
        <w:ind w:left="709" w:hanging="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 Соотношение норм статей 9.21, 14.6 и 14.31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pPr>
        <w:pStyle w:val="Normal"/>
        <w:numPr>
          <w:ilvl w:val="0"/>
          <w:numId w:val="0"/>
        </w:numPr>
        <w:spacing w:lineRule="auto" w:line="240" w:before="0" w:after="0"/>
        <w:ind w:firstLine="709"/>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pPr>
        <w:pStyle w:val="Normal"/>
        <w:numPr>
          <w:ilvl w:val="0"/>
          <w:numId w:val="0"/>
        </w:numPr>
        <w:spacing w:lineRule="auto" w:line="240" w:before="0" w:after="0"/>
        <w:ind w:firstLine="709"/>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Pr>
          <w:rFonts w:eastAsia="Calibri" w:cs="Times New Roman" w:ascii="Times New Roman" w:hAnsi="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pPr>
        <w:pStyle w:val="Normal"/>
        <w:numPr>
          <w:ilvl w:val="0"/>
          <w:numId w:val="0"/>
        </w:numPr>
        <w:spacing w:lineRule="auto" w:line="240" w:before="0" w:after="0"/>
        <w:ind w:firstLine="709"/>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4.1.</w:t>
      </w:r>
      <w:r>
        <w:rPr>
          <w:rFonts w:eastAsia="Times New Roman" w:cs="Times New Roman" w:ascii="Times New Roman" w:hAnsi="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pPr>
        <w:pStyle w:val="Normal"/>
        <w:numPr>
          <w:ilvl w:val="0"/>
          <w:numId w:val="0"/>
        </w:numPr>
        <w:spacing w:lineRule="auto" w:line="240" w:before="0" w:after="0"/>
        <w:ind w:firstLine="709"/>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Times New Roman" w:cs="Times New Roman" w:ascii="Times New Roman" w:hAnsi="Times New Roman"/>
          <w:sz w:val="28"/>
          <w:szCs w:val="28"/>
          <w:lang w:eastAsia="ru-RU"/>
        </w:rPr>
        <w:t>Так, например, согласно п. </w:t>
      </w:r>
      <w:r>
        <w:rPr>
          <w:rFonts w:eastAsia="Calibri" w:cs="Times New Roman" w:ascii="Times New Roman" w:hAnsi="Times New Roman"/>
          <w:sz w:val="28"/>
          <w:szCs w:val="28"/>
          <w:lang w:eastAsia="ru-RU"/>
        </w:rPr>
        <w:t xml:space="preserve">6 </w:t>
      </w:r>
      <w:r>
        <w:rPr>
          <w:rFonts w:eastAsia="Times New Roman" w:cs="Times New Roman" w:ascii="Times New Roman" w:hAnsi="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Pr>
          <w:rFonts w:eastAsia="Calibri" w:cs="Times New Roman" w:ascii="Times New Roman" w:hAnsi="Times New Roman"/>
          <w:sz w:val="28"/>
          <w:szCs w:val="28"/>
          <w:lang w:eastAsia="ru-RU"/>
        </w:rPr>
        <w:t>утвержденных постановлением Правительства Российской Федерации от</w:t>
      </w:r>
      <w:r>
        <w:rPr>
          <w:rFonts w:eastAsia="Times New Roman" w:cs="Times New Roman" w:ascii="Times New Roman" w:hAnsi="Times New Roman"/>
          <w:sz w:val="28"/>
          <w:szCs w:val="28"/>
          <w:lang w:eastAsia="ru-RU"/>
        </w:rPr>
        <w:t xml:space="preserve"> 27.12.2004 № 861 (далее – Правила технологического присоединения), т</w:t>
      </w:r>
      <w:r>
        <w:rPr>
          <w:rFonts w:eastAsia="Calibri" w:cs="Times New Roman" w:ascii="Times New Roman" w:hAnsi="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Согласно </w:t>
      </w:r>
      <w:r>
        <w:rPr>
          <w:rFonts w:eastAsia="Times New Roman" w:cs="Times New Roman" w:ascii="Times New Roman" w:hAnsi="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pPr>
        <w:pStyle w:val="Normal"/>
        <w:numPr>
          <w:ilvl w:val="0"/>
          <w:numId w:val="0"/>
        </w:numPr>
        <w:spacing w:lineRule="auto" w:line="240" w:before="0" w:after="0"/>
        <w:ind w:firstLine="709"/>
        <w:jc w:val="both"/>
        <w:outlineLvl w:val="0"/>
        <w:rPr/>
      </w:pPr>
      <w:r>
        <w:rPr>
          <w:rFonts w:eastAsia="Times New Roman" w:cs="Times New Roman" w:ascii="Times New Roman" w:hAnsi="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Pr>
          <w:rFonts w:eastAsia="Calibri" w:cs="Times New Roman" w:ascii="Times New Roman" w:hAnsi="Times New Roman"/>
          <w:sz w:val="28"/>
          <w:szCs w:val="28"/>
          <w:lang w:eastAsia="ru-RU"/>
        </w:rPr>
        <w:t xml:space="preserve">размер платы за технологическое присоединение, определяемый в соответствии с </w:t>
      </w:r>
      <w:hyperlink r:id="rId32">
        <w:r>
          <w:rPr>
            <w:rStyle w:val="Style16"/>
            <w:rFonts w:eastAsia="Calibri" w:cs="Times New Roman" w:ascii="Times New Roman" w:hAnsi="Times New Roman"/>
            <w:sz w:val="28"/>
            <w:szCs w:val="28"/>
            <w:lang w:eastAsia="ru-RU"/>
          </w:rPr>
          <w:t>законодательством</w:t>
        </w:r>
      </w:hyperlink>
      <w:r>
        <w:rPr>
          <w:rFonts w:eastAsia="Calibri" w:cs="Times New Roman" w:ascii="Times New Roman" w:hAnsi="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3">
        <w:r>
          <w:rPr>
            <w:rStyle w:val="Style16"/>
            <w:rFonts w:eastAsia="Calibri" w:cs="Times New Roman" w:ascii="Times New Roman" w:hAnsi="Times New Roman"/>
            <w:sz w:val="28"/>
            <w:szCs w:val="28"/>
            <w:lang w:eastAsia="ru-RU"/>
          </w:rPr>
          <w:t>разделом III</w:t>
        </w:r>
      </w:hyperlink>
      <w:r>
        <w:rPr>
          <w:rFonts w:eastAsia="Calibri" w:cs="Times New Roman" w:ascii="Times New Roman" w:hAnsi="Times New Roman"/>
          <w:sz w:val="28"/>
          <w:szCs w:val="28"/>
          <w:lang w:eastAsia="ru-RU"/>
        </w:rPr>
        <w:t xml:space="preserve"> настоящих Правил).</w:t>
      </w:r>
    </w:p>
    <w:p>
      <w:pPr>
        <w:pStyle w:val="Normal"/>
        <w:numPr>
          <w:ilvl w:val="0"/>
          <w:numId w:val="0"/>
        </w:numPr>
        <w:spacing w:lineRule="auto" w:line="240" w:before="0" w:after="0"/>
        <w:ind w:firstLine="709"/>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pPr>
        <w:pStyle w:val="Normal"/>
        <w:spacing w:lineRule="auto" w:line="240" w:before="0" w:after="0"/>
        <w:ind w:firstLine="540"/>
        <w:jc w:val="both"/>
        <w:rPr>
          <w:rFonts w:ascii="Times New Roman" w:hAnsi="Times New Roman" w:eastAsia="Calibri" w:cs="Times New Roman"/>
          <w:sz w:val="28"/>
          <w:szCs w:val="28"/>
          <w:lang w:eastAsia="ru-RU"/>
        </w:rPr>
      </w:pPr>
      <w:r>
        <w:rPr>
          <w:rFonts w:eastAsia="Times New Roman" w:cs="Times New Roman" w:ascii="Times New Roman" w:hAnsi="Times New Roman"/>
          <w:sz w:val="28"/>
          <w:szCs w:val="28"/>
          <w:lang w:eastAsia="ru-RU"/>
        </w:rPr>
        <w:t xml:space="preserve">Согласно пунктам 3, 59 Правил подключения одним из этапов процедуры подключения </w:t>
      </w:r>
      <w:r>
        <w:rPr>
          <w:rFonts w:eastAsia="Calibri" w:cs="Times New Roman" w:ascii="Times New Roman" w:hAnsi="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pPr>
        <w:pStyle w:val="Normal"/>
        <w:numPr>
          <w:ilvl w:val="0"/>
          <w:numId w:val="0"/>
        </w:numPr>
        <w:spacing w:lineRule="auto" w:line="240" w:before="0" w:after="0"/>
        <w:ind w:firstLine="709"/>
        <w:jc w:val="both"/>
        <w:outlineLvl w:val="0"/>
        <w:rPr/>
      </w:pPr>
      <w:r>
        <w:rPr>
          <w:rFonts w:eastAsia="Calibri" w:cs="Times New Roman" w:ascii="Times New Roman" w:hAnsi="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34">
        <w:r>
          <w:rPr>
            <w:rStyle w:val="Style16"/>
            <w:rFonts w:eastAsia="Calibri" w:cs="Times New Roman" w:ascii="Times New Roman" w:hAnsi="Times New Roman"/>
            <w:sz w:val="28"/>
            <w:szCs w:val="28"/>
            <w:lang w:eastAsia="ru-RU"/>
          </w:rPr>
          <w:t>законодательством</w:t>
        </w:r>
      </w:hyperlink>
      <w:r>
        <w:rPr>
          <w:rFonts w:eastAsia="Calibri" w:cs="Times New Roman" w:ascii="Times New Roman" w:hAnsi="Times New Roman"/>
          <w:sz w:val="28"/>
          <w:szCs w:val="28"/>
          <w:lang w:eastAsia="ru-RU"/>
        </w:rPr>
        <w:t xml:space="preserve"> Российской Федерации в сфере газоснабжения.</w:t>
      </w:r>
    </w:p>
    <w:p>
      <w:pPr>
        <w:pStyle w:val="Normal"/>
        <w:numPr>
          <w:ilvl w:val="0"/>
          <w:numId w:val="0"/>
        </w:numPr>
        <w:spacing w:lineRule="auto" w:line="240" w:before="0" w:after="0"/>
        <w:ind w:firstLine="709"/>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pPr>
        <w:pStyle w:val="Normal"/>
        <w:numPr>
          <w:ilvl w:val="0"/>
          <w:numId w:val="0"/>
        </w:numPr>
        <w:spacing w:lineRule="auto" w:line="240" w:before="0" w:after="0"/>
        <w:ind w:firstLine="709"/>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pPr>
        <w:pStyle w:val="Normal"/>
        <w:numPr>
          <w:ilvl w:val="0"/>
          <w:numId w:val="0"/>
        </w:numPr>
        <w:spacing w:lineRule="auto" w:line="240" w:before="0" w:after="0"/>
        <w:ind w:firstLine="709"/>
        <w:jc w:val="both"/>
        <w:outlineLvl w:val="0"/>
        <w:rPr>
          <w:rFonts w:ascii="Times New Roman" w:hAnsi="Times New Roman" w:eastAsia="Calibri" w:cs="Times New Roman"/>
          <w:sz w:val="28"/>
          <w:szCs w:val="28"/>
          <w:lang w:eastAsia="ru-RU"/>
        </w:rPr>
      </w:pPr>
      <w:r>
        <w:rPr>
          <w:rFonts w:eastAsia="Times New Roman" w:cs="Times New Roman" w:ascii="Times New Roman" w:hAnsi="Times New Roman"/>
          <w:b/>
          <w:sz w:val="28"/>
          <w:szCs w:val="28"/>
          <w:lang w:eastAsia="ru-RU"/>
        </w:rPr>
        <w:t>4.2.</w:t>
      </w:r>
      <w:r>
        <w:rPr>
          <w:rFonts w:eastAsia="Times New Roman" w:cs="Times New Roman" w:ascii="Times New Roman" w:hAnsi="Times New Roman"/>
          <w:sz w:val="28"/>
          <w:szCs w:val="28"/>
          <w:lang w:eastAsia="ru-RU"/>
        </w:rPr>
        <w:t> С</w:t>
      </w:r>
      <w:r>
        <w:rPr>
          <w:rFonts w:eastAsia="Calibri" w:cs="Times New Roman" w:ascii="Times New Roman" w:hAnsi="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Pr>
          <w:rFonts w:eastAsia="Times New Roman" w:cs="Times New Roman" w:ascii="Times New Roman" w:hAnsi="Times New Roman"/>
          <w:sz w:val="28"/>
          <w:szCs w:val="28"/>
          <w:lang w:eastAsia="ru-RU"/>
        </w:rPr>
        <w:t xml:space="preserve"> 27.12.2004 № 861 (далее – Правила недискриминационного доступа к услугам по передаче электрической энергии), </w:t>
      </w:r>
      <w:r>
        <w:rPr>
          <w:rFonts w:eastAsia="Calibri" w:cs="Times New Roman" w:ascii="Times New Roman" w:hAnsi="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pPr>
        <w:pStyle w:val="Normal"/>
        <w:numPr>
          <w:ilvl w:val="0"/>
          <w:numId w:val="0"/>
        </w:numPr>
        <w:spacing w:lineRule="auto" w:line="240" w:before="0" w:after="0"/>
        <w:ind w:firstLine="709"/>
        <w:jc w:val="both"/>
        <w:outlineLvl w:val="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pPr>
        <w:pStyle w:val="Normal"/>
        <w:numPr>
          <w:ilvl w:val="0"/>
          <w:numId w:val="0"/>
        </w:numPr>
        <w:spacing w:lineRule="auto" w:line="240" w:before="0" w:after="0"/>
        <w:ind w:firstLine="709"/>
        <w:jc w:val="both"/>
        <w:outlineLvl w:val="0"/>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pPr>
        <w:pStyle w:val="Normal"/>
        <w:numPr>
          <w:ilvl w:val="0"/>
          <w:numId w:val="0"/>
        </w:numPr>
        <w:spacing w:lineRule="auto" w:line="240" w:before="0" w:after="0"/>
        <w:jc w:val="both"/>
        <w:outlineLvl w:val="0"/>
        <w:rPr>
          <w:rFonts w:ascii="Times New Roman" w:hAnsi="Times New Roman" w:eastAsia="Calibri" w:cs="Times New Roman"/>
          <w:sz w:val="28"/>
          <w:szCs w:val="28"/>
          <w:lang w:eastAsia="ru-RU"/>
        </w:rPr>
      </w:pPr>
      <w:r>
        <w:rPr>
          <w:rFonts w:eastAsia="Times New Roman" w:cs="Times New Roman" w:ascii="Times New Roman" w:hAnsi="Times New Roman"/>
          <w:sz w:val="28"/>
          <w:szCs w:val="28"/>
          <w:lang w:eastAsia="ru-RU"/>
        </w:rPr>
        <w:tab/>
      </w:r>
      <w:r>
        <w:rPr>
          <w:rFonts w:eastAsia="Calibri" w:cs="Times New Roman" w:ascii="Times New Roman" w:hAnsi="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b/>
          <w:sz w:val="28"/>
          <w:szCs w:val="28"/>
          <w:lang w:eastAsia="ru-RU"/>
        </w:rPr>
        <w:t>5.1.</w:t>
      </w:r>
      <w:r>
        <w:rPr>
          <w:rFonts w:eastAsia="Calibri" w:cs="Times New Roman" w:ascii="Times New Roman" w:hAnsi="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b/>
          <w:sz w:val="28"/>
          <w:szCs w:val="28"/>
          <w:lang w:eastAsia="ru-RU"/>
        </w:rPr>
        <w:t>5.2.</w:t>
      </w:r>
      <w:r>
        <w:rPr>
          <w:rFonts w:eastAsia="Calibri" w:cs="Times New Roman" w:ascii="Times New Roman" w:hAnsi="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pPr>
        <w:pStyle w:val="Normal"/>
        <w:numPr>
          <w:ilvl w:val="0"/>
          <w:numId w:val="0"/>
        </w:numPr>
        <w:spacing w:lineRule="auto" w:line="240" w:before="0" w:after="0"/>
        <w:ind w:firstLine="540"/>
        <w:jc w:val="both"/>
        <w:outlineLvl w:val="0"/>
        <w:rPr>
          <w:rFonts w:ascii="Times New Roman" w:hAnsi="Times New Roman" w:eastAsia="Calibri" w:cs="Times New Roman"/>
          <w:sz w:val="28"/>
          <w:szCs w:val="28"/>
        </w:rPr>
      </w:pPr>
      <w:r>
        <w:rPr>
          <w:rFonts w:eastAsia="Calibri" w:cs="Times New Roman" w:ascii="Times New Roman" w:hAnsi="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pPr>
        <w:pStyle w:val="Normal"/>
        <w:numPr>
          <w:ilvl w:val="0"/>
          <w:numId w:val="0"/>
        </w:numPr>
        <w:spacing w:lineRule="auto" w:line="240" w:before="0" w:after="0"/>
        <w:ind w:firstLine="540"/>
        <w:jc w:val="both"/>
        <w:outlineLvl w:val="0"/>
        <w:rPr/>
      </w:pPr>
      <w:r>
        <w:rPr>
          <w:rFonts w:eastAsia="Calibri" w:cs="Times New Roman" w:ascii="Times New Roman" w:hAnsi="Times New Roman"/>
          <w:sz w:val="28"/>
          <w:szCs w:val="28"/>
        </w:rPr>
        <w:t xml:space="preserve">Срок давности привлечения к ответственности за нарушения, предусмотренные статьей 14.6 КоАП, составляет один год </w:t>
      </w:r>
      <w:r>
        <w:rPr>
          <w:rFonts w:eastAsia="Calibri" w:cs="Times New Roman" w:ascii="Times New Roman" w:hAnsi="Times New Roman"/>
          <w:sz w:val="28"/>
          <w:szCs w:val="28"/>
          <w:lang w:eastAsia="ru-RU"/>
        </w:rPr>
        <w:t xml:space="preserve">со дня совершения административного </w:t>
      </w:r>
      <w:r>
        <w:rPr>
          <w:rFonts w:eastAsia="Calibri" w:cs="Times New Roman" w:ascii="Times New Roman" w:hAnsi="Times New Roman"/>
          <w:sz w:val="28"/>
          <w:szCs w:val="28"/>
        </w:rPr>
        <w:t xml:space="preserve">правонарушения. При </w:t>
      </w:r>
      <w:hyperlink r:id="rId35">
        <w:r>
          <w:rPr>
            <w:rStyle w:val="Style16"/>
            <w:rFonts w:eastAsia="Calibri" w:cs="Times New Roman" w:ascii="Times New Roman" w:hAnsi="Times New Roman"/>
            <w:sz w:val="28"/>
            <w:szCs w:val="28"/>
          </w:rPr>
          <w:t>длящемся</w:t>
        </w:r>
      </w:hyperlink>
      <w:r>
        <w:rPr>
          <w:rFonts w:eastAsia="Calibri" w:cs="Times New Roman" w:ascii="Times New Roman" w:hAnsi="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pPr>
        <w:pStyle w:val="NormalWeb"/>
        <w:spacing w:lineRule="auto" w:line="240" w:beforeAutospacing="0" w:before="0" w:after="0"/>
        <w:jc w:val="both"/>
        <w:rPr>
          <w:sz w:val="28"/>
          <w:szCs w:val="28"/>
        </w:rPr>
      </w:pPr>
      <w:r>
        <w:rPr>
          <w:sz w:val="28"/>
          <w:szCs w:val="28"/>
        </w:rPr>
      </w:r>
    </w:p>
    <w:p>
      <w:pPr>
        <w:pStyle w:val="NormalWeb"/>
        <w:spacing w:lineRule="auto" w:line="240" w:beforeAutospacing="0" w:before="0" w:after="0"/>
        <w:jc w:val="both"/>
        <w:rPr>
          <w:sz w:val="28"/>
          <w:szCs w:val="28"/>
        </w:rPr>
      </w:pPr>
      <w:r>
        <w:rPr>
          <w:sz w:val="28"/>
          <w:szCs w:val="28"/>
        </w:rPr>
      </w:r>
    </w:p>
    <w:p>
      <w:pPr>
        <w:pStyle w:val="Normal"/>
        <w:keepNext/>
        <w:spacing w:lineRule="auto" w:line="240" w:before="0" w:after="0"/>
        <w:ind w:firstLine="709"/>
        <w:jc w:val="both"/>
        <w:rPr>
          <w:rFonts w:ascii="Times New Roman" w:hAnsi="Times New Roman" w:eastAsia="MS Gothic" w:cs="Times New Roman"/>
          <w:b/>
          <w:b/>
          <w:bCs/>
          <w:iCs/>
          <w:sz w:val="28"/>
          <w:szCs w:val="28"/>
          <w:lang w:eastAsia="ar-SA"/>
        </w:rPr>
      </w:pPr>
      <w:bookmarkStart w:id="10" w:name="_Toc489369044"/>
      <w:bookmarkStart w:id="11" w:name="_Toc489368942"/>
      <w:bookmarkStart w:id="12" w:name="_Toc487657897"/>
      <w:bookmarkStart w:id="13" w:name="_Toc487488499"/>
      <w:bookmarkStart w:id="14" w:name="_Toc487488266"/>
      <w:bookmarkStart w:id="15" w:name="_Toc487453859"/>
      <w:bookmarkStart w:id="16" w:name="_Toc487453732"/>
      <w:bookmarkEnd w:id="10"/>
      <w:bookmarkEnd w:id="11"/>
      <w:bookmarkEnd w:id="12"/>
      <w:bookmarkEnd w:id="13"/>
      <w:bookmarkEnd w:id="14"/>
      <w:bookmarkEnd w:id="15"/>
      <w:bookmarkEnd w:id="16"/>
      <w:r>
        <w:rPr>
          <w:rFonts w:eastAsia="MS Gothic" w:cs="Times New Roman" w:ascii="Times New Roman" w:hAnsi="Times New Roman"/>
          <w:b/>
          <w:bCs/>
          <w:iCs/>
          <w:sz w:val="28"/>
          <w:szCs w:val="28"/>
          <w:lang w:eastAsia="ar-SA"/>
        </w:rPr>
        <w:t>Обзор решений Апелляционной коллегии ФАС России</w:t>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w:t>
      </w:r>
      <w:bookmarkStart w:id="17" w:name="_GoBack"/>
      <w:bookmarkEnd w:id="17"/>
      <w:r>
        <w:rPr>
          <w:rFonts w:eastAsia="Times New Roman" w:cs="Times New Roman" w:ascii="Times New Roman" w:hAnsi="Times New Roman"/>
          <w:sz w:val="28"/>
          <w:szCs w:val="28"/>
        </w:rPr>
        <w:t>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рамках данного дела Президиумом ФАС России были сформулированы следующие выводы:</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b/>
          <w:b/>
          <w:color w:val="000000"/>
          <w:sz w:val="28"/>
          <w:szCs w:val="28"/>
          <w:highlight w:val="white"/>
        </w:rPr>
      </w:pPr>
      <w:r>
        <w:rPr>
          <w:rFonts w:eastAsia="Times New Roman" w:cs="Times New Roman" w:ascii="Times New Roman" w:hAnsi="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Pr>
          <w:rFonts w:eastAsia="Times New Roman" w:cs="Times New Roman" w:ascii="Times New Roman" w:hAnsi="Times New Roman"/>
          <w:b/>
          <w:sz w:val="28"/>
          <w:szCs w:val="28"/>
          <w:shd w:fill="FFFFFF" w:val="clear"/>
        </w:rPr>
        <w:t xml:space="preserve"> соответствии с которым ПАО «ТНС энерго Ростов-на-Дону» признано нарушившим часть 1 статьи 10 Закона о защите конкуренции в результате </w:t>
      </w:r>
      <w:r>
        <w:rPr>
          <w:rFonts w:eastAsia="Times New Roman" w:cs="Times New Roman" w:ascii="Times New Roman" w:hAnsi="Times New Roman"/>
          <w:b/>
          <w:color w:val="000000"/>
          <w:sz w:val="28"/>
          <w:szCs w:val="28"/>
          <w:shd w:fill="FFFFFF" w:val="clear"/>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color w:val="000000"/>
          <w:sz w:val="28"/>
          <w:szCs w:val="28"/>
          <w:shd w:fill="FFFFFF" w:val="clear"/>
          <w:lang w:eastAsia="ru-RU"/>
        </w:rPr>
        <w:t xml:space="preserve">Комиссией Ростовского УФАС России установлено, что </w:t>
      </w:r>
      <w:r>
        <w:rPr>
          <w:rFonts w:eastAsia="MS Mincho" w:cs="Times New Roman" w:ascii="Times New Roman" w:hAnsi="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Pr>
          <w:rFonts w:eastAsia="MS Mincho" w:cs="Times New Roman" w:ascii="Times New Roman" w:hAnsi="Times New Roman"/>
          <w:color w:val="000000"/>
          <w:sz w:val="28"/>
          <w:szCs w:val="28"/>
          <w:shd w:fill="FFFFFF" w:val="clear"/>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В рамках указанного дела Апелляционной коллегией ФАС России были сформулированы следующие выводы:</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color w:val="000000"/>
          <w:sz w:val="28"/>
          <w:szCs w:val="28"/>
          <w:shd w:fill="FFFFFF" w:val="clear"/>
        </w:rPr>
        <w:t xml:space="preserve">3. </w:t>
      </w:r>
      <w:r>
        <w:rPr>
          <w:rFonts w:eastAsia="Times New Roman" w:cs="Times New Roman" w:ascii="Times New Roman" w:hAnsi="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3. Направить исковое заявление в Арбитражный суд Псковской области о признании торгов недействительными.»</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color w:val="000000"/>
          <w:sz w:val="28"/>
          <w:szCs w:val="28"/>
          <w:lang w:eastAsia="ru-RU"/>
        </w:rPr>
        <w:t xml:space="preserve">1. </w:t>
      </w:r>
      <w:r>
        <w:rPr>
          <w:rFonts w:eastAsia="MS Mincho" w:cs="Times New Roman" w:ascii="Times New Roman" w:hAnsi="Times New Roman"/>
          <w:sz w:val="28"/>
          <w:szCs w:val="28"/>
          <w:shd w:fill="FFFFFF" w:val="clear"/>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Следовательно, Зюзько М.Б. входит в одну группу лиц с ООО «Карбон» по части 1 статьи 9 Закона о защите конкуренции.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Таким образом, Коллегия пришла к выводу о необходимости изменения решения </w:t>
      </w:r>
      <w:r>
        <w:rPr>
          <w:rFonts w:eastAsia="MS Mincho" w:cs="Times New Roman" w:ascii="Times New Roman" w:hAnsi="Times New Roman"/>
          <w:color w:val="000000"/>
          <w:sz w:val="28"/>
          <w:szCs w:val="28"/>
          <w:shd w:fill="FFFFFF" w:val="clear"/>
          <w:lang w:eastAsia="ru-RU"/>
        </w:rPr>
        <w:t>Управления Федеральной антимонопольной службы по Псковской области от 16.06.2016 по делу № 13/17/16-ТР</w:t>
      </w:r>
      <w:r>
        <w:rPr>
          <w:rFonts w:eastAsia="MS Mincho" w:cs="Times New Roman" w:ascii="Times New Roman" w:hAnsi="Times New Roman"/>
          <w:sz w:val="28"/>
          <w:szCs w:val="28"/>
          <w:shd w:fill="FFFFFF" w:val="clear"/>
          <w:lang w:eastAsia="ru-RU"/>
        </w:rPr>
        <w:t xml:space="preserve"> в части исключения квалификации действий Зюзько М.Б. и </w:t>
      </w:r>
      <w:r>
        <w:rPr>
          <w:rFonts w:eastAsia="MS Mincho" w:cs="Times New Roman" w:ascii="Times New Roman" w:hAnsi="Times New Roman"/>
          <w:color w:val="000000"/>
          <w:sz w:val="28"/>
          <w:szCs w:val="28"/>
          <w:shd w:fill="FFFFFF" w:val="clear"/>
          <w:lang w:eastAsia="ru-RU"/>
        </w:rPr>
        <w:t>Кучерова Д.В.</w:t>
      </w:r>
      <w:r>
        <w:rPr>
          <w:rFonts w:eastAsia="MS Mincho" w:cs="Times New Roman" w:ascii="Times New Roman" w:hAnsi="Times New Roman"/>
          <w:sz w:val="28"/>
          <w:szCs w:val="28"/>
          <w:shd w:fill="FFFFFF" w:val="clear"/>
          <w:lang w:eastAsia="ru-RU"/>
        </w:rPr>
        <w:t xml:space="preserve"> по </w:t>
      </w:r>
      <w:r>
        <w:rPr>
          <w:rFonts w:eastAsia="MS Mincho" w:cs="Times New Roman" w:ascii="Times New Roman" w:hAnsi="Times New Roman"/>
          <w:color w:val="000000"/>
          <w:sz w:val="28"/>
          <w:szCs w:val="28"/>
          <w:shd w:fill="FFFFFF" w:val="clear"/>
          <w:lang w:eastAsia="ru-RU"/>
        </w:rPr>
        <w:t>пункту 1 части 1 статьи 17</w:t>
      </w:r>
      <w:r>
        <w:rPr>
          <w:rFonts w:eastAsia="MS Mincho" w:cs="Times New Roman" w:ascii="Times New Roman" w:hAnsi="Times New Roman"/>
          <w:sz w:val="28"/>
          <w:szCs w:val="28"/>
          <w:shd w:fill="FFFFFF" w:val="clear"/>
          <w:lang w:eastAsia="ru-RU"/>
        </w:rPr>
        <w:t xml:space="preserve">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shd w:fill="FFFFFF" w:val="clear"/>
          <w:lang w:eastAsia="ru-RU"/>
        </w:rPr>
      </w:pPr>
      <w:r>
        <w:rPr>
          <w:rFonts w:eastAsia="MS Mincho" w:cs="Times New Roman" w:ascii="Times New Roman" w:hAnsi="Times New Roman"/>
          <w:sz w:val="28"/>
          <w:szCs w:val="28"/>
          <w:shd w:fill="FFFFFF" w:val="clear"/>
          <w:lang w:eastAsia="ru-RU"/>
        </w:rPr>
      </w:r>
    </w:p>
    <w:p>
      <w:pPr>
        <w:pStyle w:val="Normal"/>
        <w:spacing w:lineRule="auto" w:line="240" w:before="0" w:after="0"/>
        <w:ind w:firstLine="709"/>
        <w:jc w:val="both"/>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Pr>
          <w:rFonts w:eastAsia="Times New Roman" w:cs="Times New Roman" w:ascii="Times New Roman" w:hAnsi="Times New Roman"/>
          <w:sz w:val="28"/>
          <w:szCs w:val="28"/>
        </w:rPr>
        <w:t xml:space="preserve">по делу № 2-7569-16/6 </w:t>
      </w:r>
      <w:r>
        <w:rPr>
          <w:rFonts w:eastAsia="Times New Roman" w:cs="Times New Roman" w:ascii="Times New Roman" w:hAnsi="Times New Roman"/>
          <w:color w:val="000000"/>
          <w:sz w:val="28"/>
          <w:szCs w:val="28"/>
          <w:shd w:fill="FFFFFF" w:val="clear"/>
        </w:rPr>
        <w:t>оставлена без удовлетворения.</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b/>
          <w:sz w:val="28"/>
          <w:szCs w:val="28"/>
          <w:lang w:eastAsia="ru-RU"/>
        </w:rPr>
        <w:t xml:space="preserve">6. Апелляционной коллегией была рассмотрена жалоба </w:t>
      </w:r>
      <w:r>
        <w:rPr>
          <w:rFonts w:eastAsia="MS Mincho" w:cs="Times New Roman" w:ascii="Times New Roman" w:hAnsi="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iCs/>
          <w:color w:val="000000"/>
          <w:sz w:val="28"/>
          <w:szCs w:val="28"/>
          <w:lang w:eastAsia="ru-RU"/>
        </w:rPr>
        <w:t>Решением Новосибирского УФАС России в действиях</w:t>
      </w:r>
      <w:r>
        <w:rPr>
          <w:rFonts w:eastAsia="MS Mincho" w:cs="Times New Roman" w:ascii="Times New Roman" w:hAnsi="Times New Roman"/>
          <w:i/>
          <w:iCs/>
          <w:color w:val="000000"/>
          <w:sz w:val="28"/>
          <w:szCs w:val="28"/>
          <w:lang w:eastAsia="ru-RU"/>
        </w:rPr>
        <w:t xml:space="preserve"> </w:t>
      </w:r>
      <w:r>
        <w:rPr>
          <w:rFonts w:eastAsia="MS Mincho" w:cs="Times New Roman" w:ascii="Times New Roman" w:hAnsi="Times New Roman"/>
          <w:sz w:val="28"/>
          <w:szCs w:val="28"/>
          <w:lang w:eastAsia="ru-RU"/>
        </w:rPr>
        <w:t>ООО «Арчи» и ООО «Успех» установлен факт нарушения пункта 1 статьи 14</w:t>
      </w:r>
      <w:r>
        <w:rPr>
          <w:rFonts w:eastAsia="MS Mincho" w:cs="Times New Roman" w:ascii="Times New Roman" w:hAnsi="Times New Roman"/>
          <w:sz w:val="28"/>
          <w:szCs w:val="28"/>
          <w:vertAlign w:val="superscript"/>
          <w:lang w:eastAsia="ru-RU"/>
        </w:rPr>
        <w:t>6</w:t>
      </w:r>
      <w:r>
        <w:rPr>
          <w:rFonts w:eastAsia="MS Mincho" w:cs="Times New Roman" w:ascii="Times New Roman" w:hAnsi="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Pr>
          <w:rFonts w:eastAsia="MS Mincho" w:cs="Times New Roman" w:ascii="Times New Roman" w:hAnsi="Times New Roman"/>
          <w:color w:val="000000"/>
          <w:sz w:val="28"/>
          <w:szCs w:val="28"/>
          <w:lang w:eastAsia="ru-RU"/>
        </w:rPr>
        <w:t>использован</w:t>
      </w:r>
      <w:r>
        <w:rPr>
          <w:rFonts w:eastAsia="MS Mincho" w:cs="Times New Roman" w:ascii="Times New Roman" w:hAnsi="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pPr>
        <w:pStyle w:val="Normal"/>
        <w:shd w:val="clear" w:color="auto" w:fill="FFFFFF"/>
        <w:spacing w:lineRule="auto" w:line="240" w:before="0" w:after="0"/>
        <w:ind w:firstLine="709"/>
        <w:jc w:val="both"/>
        <w:rPr>
          <w:rFonts w:ascii="Times New Roman" w:hAnsi="Times New Roman" w:eastAsia="MS Mincho" w:cs="Times New Roman"/>
          <w:color w:val="000000"/>
          <w:sz w:val="28"/>
          <w:szCs w:val="28"/>
          <w:highlight w:val="white"/>
          <w:lang w:eastAsia="ru-RU"/>
        </w:rPr>
      </w:pPr>
      <w:r>
        <w:rPr>
          <w:rFonts w:eastAsia="MS Mincho" w:cs="Times New Roman" w:ascii="Times New Roman" w:hAnsi="Times New Roman"/>
          <w:color w:val="000000"/>
          <w:sz w:val="28"/>
          <w:szCs w:val="28"/>
          <w:shd w:fill="FFFFFF" w:val="clear"/>
          <w:lang w:eastAsia="ru-RU"/>
        </w:rPr>
        <w:t xml:space="preserve">Решением Апелляционной коллегии ФАС России </w:t>
      </w:r>
      <w:r>
        <w:rPr>
          <w:rFonts w:eastAsia="MS Mincho" w:cs="Times New Roman" w:ascii="Times New Roman" w:hAnsi="Times New Roman"/>
          <w:sz w:val="28"/>
          <w:szCs w:val="28"/>
          <w:lang w:eastAsia="ru-RU"/>
        </w:rPr>
        <w:t xml:space="preserve">жалоба </w:t>
      </w:r>
      <w:r>
        <w:rPr>
          <w:rFonts w:eastAsia="MS Mincho" w:cs="Times New Roman" w:ascii="Times New Roman" w:hAnsi="Times New Roman"/>
          <w:color w:val="000000"/>
          <w:sz w:val="28"/>
          <w:szCs w:val="28"/>
          <w:lang w:eastAsia="ru-RU"/>
        </w:rPr>
        <w:t>ООО «Успех»</w:t>
      </w:r>
      <w:r>
        <w:rPr>
          <w:rFonts w:eastAsia="MS Mincho" w:cs="Times New Roman" w:ascii="Times New Roman" w:hAnsi="Times New Roman"/>
          <w:b/>
          <w:color w:val="000000"/>
          <w:sz w:val="28"/>
          <w:szCs w:val="28"/>
          <w:lang w:eastAsia="ru-RU"/>
        </w:rPr>
        <w:t xml:space="preserve"> </w:t>
      </w:r>
      <w:r>
        <w:rPr>
          <w:rFonts w:eastAsia="MS Mincho" w:cs="Times New Roman" w:ascii="Times New Roman" w:hAnsi="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Pr>
          <w:rFonts w:eastAsia="MS Mincho" w:cs="Times New Roman" w:ascii="Times New Roman" w:hAnsi="Times New Roman"/>
          <w:color w:val="000000"/>
          <w:sz w:val="28"/>
          <w:szCs w:val="28"/>
          <w:shd w:fill="FFFFFF" w:val="clear"/>
          <w:lang w:eastAsia="ru-RU"/>
        </w:rPr>
        <w:t xml:space="preserve"> оставлена без удовлетворения.</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color w:val="000000"/>
          <w:sz w:val="28"/>
          <w:szCs w:val="28"/>
          <w:lang w:eastAsia="ru-RU"/>
        </w:rPr>
        <w:t>1)</w:t>
      </w:r>
      <w:r>
        <w:rPr>
          <w:rFonts w:eastAsia="MS Mincho" w:cs="Times New Roman" w:ascii="Times New Roman" w:hAnsi="Times New Roman"/>
          <w:b/>
          <w:color w:val="000000"/>
          <w:sz w:val="28"/>
          <w:szCs w:val="28"/>
          <w:lang w:eastAsia="ru-RU"/>
        </w:rPr>
        <w:t xml:space="preserve"> </w:t>
      </w:r>
      <w:r>
        <w:rPr>
          <w:rFonts w:eastAsia="MS Mincho" w:cs="Times New Roman" w:ascii="Times New Roman" w:hAnsi="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color w:val="000000"/>
          <w:sz w:val="28"/>
          <w:szCs w:val="28"/>
          <w:lang w:eastAsia="ru-RU"/>
        </w:rPr>
        <w:t>2)</w:t>
      </w:r>
      <w:r>
        <w:rPr>
          <w:rFonts w:eastAsia="MS Mincho" w:cs="Times New Roman" w:ascii="Times New Roman" w:hAnsi="Times New Roman"/>
          <w:b/>
          <w:color w:val="000000"/>
          <w:sz w:val="28"/>
          <w:szCs w:val="28"/>
          <w:lang w:eastAsia="ru-RU"/>
        </w:rPr>
        <w:t xml:space="preserve"> </w:t>
      </w:r>
      <w:r>
        <w:rPr>
          <w:rFonts w:eastAsia="MS Mincho" w:cs="Times New Roman" w:ascii="Times New Roman" w:hAnsi="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color w:val="000000"/>
          <w:sz w:val="28"/>
          <w:szCs w:val="28"/>
          <w:lang w:eastAsia="ru-RU"/>
        </w:rPr>
        <w:t xml:space="preserve">3) </w:t>
      </w:r>
      <w:r>
        <w:rPr>
          <w:rFonts w:eastAsia="MS Mincho" w:cs="Times New Roman" w:ascii="Times New Roman" w:hAnsi="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 экспертное заключение патентного поверенного;</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 справка ФИПС;</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-исследование ОАО «ВЦИОМ» «Определение различительной способности обозначений среди респондентов».</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pPr>
        <w:pStyle w:val="Normal"/>
        <w:spacing w:lineRule="auto" w:line="240" w:before="0" w:after="0"/>
        <w:ind w:firstLine="709"/>
        <w:jc w:val="both"/>
        <w:rPr>
          <w:rFonts w:ascii="Times New Roman" w:hAnsi="Times New Roman" w:eastAsia="MS Mincho" w:cs="Times New Roman"/>
          <w:color w:val="000000"/>
          <w:sz w:val="28"/>
          <w:szCs w:val="28"/>
          <w:highlight w:val="white"/>
          <w:lang w:eastAsia="ru-RU"/>
        </w:rPr>
      </w:pPr>
      <w:r>
        <w:rPr>
          <w:rFonts w:eastAsia="MS Mincho" w:cs="Times New Roman" w:ascii="Times New Roman" w:hAnsi="Times New Roman"/>
          <w:color w:val="000000"/>
          <w:sz w:val="28"/>
          <w:szCs w:val="28"/>
          <w:shd w:fill="FFFFFF" w:val="clear"/>
          <w:lang w:eastAsia="ru-RU"/>
        </w:rPr>
        <w:t>Решением Апелляционной коллегии ФАС России от 13.02.2017 решение и предписание Тульского УФАС от 11.11.2016 № 03-03/06-2016 отменены.</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1) Положения </w:t>
      </w:r>
      <w:r>
        <w:rPr>
          <w:rFonts w:eastAsia="MS Mincho" w:cs="Times New Roman" w:ascii="Times New Roman" w:hAnsi="Times New Roman"/>
          <w:sz w:val="28"/>
          <w:szCs w:val="28"/>
          <w:lang w:eastAsia="ru-RU"/>
        </w:rPr>
        <w:t>пункта 2 части 1 статьи 11 Закона о защите конкуренции</w:t>
      </w:r>
      <w:r>
        <w:rPr>
          <w:rFonts w:eastAsia="MS Mincho" w:cs="Times New Roman" w:ascii="Times New Roman" w:hAnsi="Times New Roman"/>
          <w:sz w:val="28"/>
          <w:szCs w:val="28"/>
          <w:shd w:fill="FFFFFF" w:val="clear"/>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3) Деев А.Ю. по смыслу Закона о защите конкуренции является хозяйствующим субъектом. </w:t>
      </w:r>
      <w:r>
        <w:rPr>
          <w:rFonts w:eastAsia="MS Mincho" w:cs="Times New Roman" w:ascii="Times New Roman" w:hAnsi="Times New Roman"/>
          <w:sz w:val="28"/>
          <w:szCs w:val="28"/>
          <w:lang w:eastAsia="ru-RU"/>
        </w:rPr>
        <w:t>Соответственно, на рассматриваемые действия Деева А.Ю. распространяются</w:t>
      </w:r>
      <w:r>
        <w:rPr>
          <w:rFonts w:eastAsia="MS Mincho" w:cs="Times New Roman" w:ascii="Times New Roman" w:hAnsi="Times New Roman"/>
          <w:sz w:val="28"/>
          <w:szCs w:val="28"/>
          <w:shd w:fill="FFFFFF" w:val="clear"/>
          <w:lang w:eastAsia="ru-RU"/>
        </w:rPr>
        <w:t xml:space="preserve"> положения </w:t>
      </w:r>
      <w:r>
        <w:rPr>
          <w:rFonts w:eastAsia="MS Mincho" w:cs="Times New Roman" w:ascii="Times New Roman" w:hAnsi="Times New Roman"/>
          <w:sz w:val="28"/>
          <w:szCs w:val="28"/>
          <w:lang w:eastAsia="ru-RU"/>
        </w:rPr>
        <w:t>пункта 2 части 1 статьи 11 Закона о защите конкуренции, а не части 1 статьи 17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8. Апелляционной коллегией ФАС России была рассмотрена жалоба </w:t>
      </w:r>
      <w:r>
        <w:rPr>
          <w:rFonts w:eastAsia="Times New Roman" w:cs="Times New Roman" w:ascii="Times New Roman" w:hAnsi="Times New Roman"/>
          <w:b/>
          <w:color w:val="000000"/>
          <w:sz w:val="28"/>
          <w:szCs w:val="28"/>
          <w:shd w:fill="FFFFFF" w:val="clear"/>
        </w:rPr>
        <w:t xml:space="preserve">Заиченко О.В. (представитель Тимошенковой Т.В.) на решение </w:t>
      </w:r>
      <w:r>
        <w:rPr>
          <w:rFonts w:eastAsia="Times New Roman" w:cs="Times New Roman" w:ascii="Times New Roman" w:hAnsi="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pPr>
        <w:pStyle w:val="Normal"/>
        <w:shd w:val="clear" w:color="auto" w:fill="FFFFFF"/>
        <w:spacing w:lineRule="auto" w:line="240" w:before="0" w:after="0"/>
        <w:ind w:firstLine="709"/>
        <w:jc w:val="both"/>
        <w:rPr>
          <w:rFonts w:ascii="Times New Roman" w:hAnsi="Times New Roman" w:eastAsia="MS Mincho" w:cs="Times New Roman"/>
          <w:color w:val="000000"/>
          <w:sz w:val="28"/>
          <w:szCs w:val="28"/>
          <w:highlight w:val="white"/>
          <w:lang w:eastAsia="ru-RU"/>
        </w:rPr>
      </w:pPr>
      <w:r>
        <w:rPr>
          <w:rFonts w:eastAsia="MS Mincho" w:cs="Times New Roman" w:ascii="Times New Roman" w:hAnsi="Times New Roman"/>
          <w:color w:val="000000"/>
          <w:sz w:val="28"/>
          <w:szCs w:val="28"/>
          <w:shd w:fill="FFFFFF" w:val="clear"/>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u w:val="single"/>
          <w:lang w:eastAsia="ru-RU"/>
        </w:rPr>
      </w:pPr>
      <w:r>
        <w:rPr>
          <w:rFonts w:eastAsia="MS Mincho" w:cs="Times New Roman" w:ascii="Times New Roman" w:hAnsi="Times New Roman"/>
          <w:color w:val="000000"/>
          <w:sz w:val="28"/>
          <w:szCs w:val="28"/>
          <w:lang w:eastAsia="ru-RU"/>
        </w:rPr>
        <w:t xml:space="preserve">В соответствии Разъяснением № 7 </w:t>
      </w:r>
      <w:r>
        <w:rPr>
          <w:rFonts w:eastAsia="MS Mincho" w:cs="Times New Roman" w:ascii="Times New Roman" w:hAnsi="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Pr>
          <w:rFonts w:eastAsia="MS Mincho" w:cs="Times New Roman" w:ascii="Times New Roman" w:hAnsi="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Pr>
          <w:rFonts w:eastAsia="MS Mincho" w:cs="Times New Roman" w:ascii="Times New Roman" w:hAnsi="Times New Roman"/>
          <w:color w:val="000000"/>
          <w:sz w:val="28"/>
          <w:szCs w:val="28"/>
          <w:u w:val="single"/>
          <w:lang w:eastAsia="ru-RU"/>
        </w:rPr>
        <w:t>за исключением случаев, предусмотренных статьей 9.21 КоАП.</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MS Mincho" w:cs="Times New Roman"/>
          <w:sz w:val="28"/>
          <w:szCs w:val="28"/>
          <w:lang w:eastAsia="ru-RU"/>
        </w:rPr>
      </w:pPr>
      <w:bookmarkStart w:id="18" w:name="_Toc489369045"/>
      <w:bookmarkStart w:id="19" w:name="_Toc489368943"/>
      <w:bookmarkStart w:id="20" w:name="_Toc487657898"/>
      <w:bookmarkStart w:id="21" w:name="_Toc487488500"/>
      <w:bookmarkStart w:id="22" w:name="_Toc487488267"/>
      <w:bookmarkStart w:id="23" w:name="_Toc487453860"/>
      <w:bookmarkStart w:id="24" w:name="_Toc487453733"/>
      <w:bookmarkEnd w:id="18"/>
      <w:bookmarkEnd w:id="19"/>
      <w:bookmarkEnd w:id="20"/>
      <w:bookmarkEnd w:id="21"/>
      <w:bookmarkEnd w:id="22"/>
      <w:bookmarkEnd w:id="23"/>
      <w:bookmarkEnd w:id="24"/>
      <w:r>
        <w:rPr>
          <w:rFonts w:eastAsia="MS Gothic" w:cs="Times New Roman" w:ascii="Times New Roman" w:hAnsi="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Pr>
          <w:rFonts w:eastAsia="Times New Roman" w:cs="Times New Roman" w:ascii="Times New Roman" w:hAnsi="Times New Roman"/>
          <w:b/>
          <w:sz w:val="28"/>
          <w:szCs w:val="28"/>
        </w:rPr>
        <w:t>Федеральный закон «О защите конкуренции»</w:t>
      </w:r>
      <w:r>
        <w:rPr>
          <w:rFonts w:eastAsia="Times New Roman" w:cs="Times New Roman" w:ascii="Times New Roman" w:hAnsi="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могут быть обжалованы</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в коллегиальном органе решения и предписания, принятые территориальным антимонопольным органом в порядке статей 18</w:t>
      </w:r>
      <w:r>
        <w:rPr>
          <w:rFonts w:eastAsia="Times New Roman" w:cs="Times New Roman" w:ascii="Times New Roman" w:hAnsi="Times New Roman"/>
          <w:sz w:val="28"/>
          <w:szCs w:val="28"/>
          <w:vertAlign w:val="superscript"/>
        </w:rPr>
        <w:t>1</w:t>
      </w:r>
      <w:r>
        <w:rPr>
          <w:rFonts w:eastAsia="Times New Roman" w:cs="Times New Roman" w:ascii="Times New Roman" w:hAnsi="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Правомерно ли обжалование в коллегиальном органе ФАС России части решения или предписания территориального органа?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Кто вправе обжаловать в</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 xml:space="preserve">коллегиальном органе ФАС России решения или предписания территориального антимонопольного органа?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Закон не содержит препятствий для обращения с жалобой в такой ситуации и ее рассмотрения коллегиальным органом.</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частью 2 статьи 52 Федерального закона «О защите конкуренции»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jc w:val="both"/>
        <w:rPr>
          <w:rFonts w:ascii="Times New Roman" w:hAnsi="Times New Roman" w:eastAsia="Times New Roman" w:cs="Times New Roman"/>
          <w:b/>
          <w:b/>
          <w:sz w:val="28"/>
          <w:szCs w:val="28"/>
        </w:rPr>
      </w:pPr>
      <w:bookmarkStart w:id="25" w:name="sub_23010400"/>
      <w:bookmarkEnd w:id="25"/>
      <w:r>
        <w:rPr>
          <w:rFonts w:eastAsia="Times New Roman" w:cs="Times New Roman" w:ascii="Times New Roman" w:hAnsi="Times New Roman"/>
          <w:b/>
          <w:sz w:val="28"/>
          <w:szCs w:val="28"/>
        </w:rPr>
        <w:t>Возможно ли восстановление срока на обращение с жалобой в коллегиальный орган ФАС России?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Pr>
          <w:rFonts w:eastAsia="Times New Roman" w:cs="Times New Roman" w:ascii="Times New Roman" w:hAnsi="Times New Roman"/>
          <w:b/>
          <w:sz w:val="28"/>
          <w:szCs w:val="28"/>
          <w:vertAlign w:val="superscript"/>
        </w:rPr>
        <w:t>1</w:t>
      </w:r>
      <w:r>
        <w:rPr>
          <w:rFonts w:eastAsia="Times New Roman" w:cs="Times New Roman" w:ascii="Times New Roman" w:hAnsi="Times New Roman"/>
          <w:b/>
          <w:sz w:val="28"/>
          <w:szCs w:val="28"/>
        </w:rPr>
        <w:t xml:space="preserve"> ст. 52 Федерального закона «О защите конкуренции»?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ч. 1</w:t>
      </w:r>
      <w:r>
        <w:rPr>
          <w:rFonts w:eastAsia="Times New Roman" w:cs="Times New Roman" w:ascii="Times New Roman" w:hAnsi="Times New Roman"/>
          <w:sz w:val="28"/>
          <w:szCs w:val="28"/>
          <w:vertAlign w:val="superscript"/>
        </w:rPr>
        <w:t>1</w:t>
      </w:r>
      <w:r>
        <w:rPr>
          <w:rFonts w:eastAsia="Times New Roman" w:cs="Times New Roman" w:ascii="Times New Roman" w:hAnsi="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При каких условиях член коллегиального органа ФАС России не вправе участвовать в рассмотрении жалобы?</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Необходимо отметить, что этот вопрос прямо не урегулирован в Федеральном законе «О защите конкуренции».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Pr>
          <w:rFonts w:eastAsia="Times New Roman" w:cs="Times New Roman" w:ascii="Times New Roman" w:hAnsi="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pPr>
        <w:pStyle w:val="Normal"/>
        <w:spacing w:lineRule="auto" w:line="240" w:before="0" w:after="0"/>
        <w:ind w:firstLine="709"/>
        <w:jc w:val="both"/>
        <w:rPr/>
      </w:pPr>
      <w:bookmarkEnd w:id="26"/>
      <w:r>
        <w:rPr>
          <w:rFonts w:eastAsia="Times New Roman" w:cs="Times New Roman" w:ascii="Times New Roman" w:hAnsi="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p>
    <w:sectPr>
      <w:footerReference w:type="default" r:id="rId36"/>
      <w:footnotePr>
        <w:numFmt w:val="decimal"/>
      </w:footnotePr>
      <w:type w:val="nextPage"/>
      <w:pgSz w:w="11906" w:h="16838"/>
      <w:pgMar w:left="1701" w:right="850" w:header="0" w:top="1134" w:footer="708"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swiss"/>
    <w:pitch w:val="variable"/>
  </w:font>
  <w:font w:name="Cambria Math">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1662975"/>
    </w:sdtPr>
    <w:sdtContent>
      <w:p>
        <w:pPr>
          <w:pStyle w:val="Style29"/>
          <w:jc w:val="center"/>
          <w:rPr/>
        </w:pPr>
        <w:r>
          <w:rPr/>
          <w:fldChar w:fldCharType="begin"/>
        </w:r>
        <w:r>
          <w:instrText> PAGE </w:instrText>
        </w:r>
        <w:r>
          <w:fldChar w:fldCharType="separate"/>
        </w:r>
        <w:r>
          <w:t>135</w:t>
        </w:r>
        <w:r>
          <w:fldChar w:fldCharType="end"/>
        </w:r>
      </w:p>
    </w:sdtContent>
  </w:sdt>
  <w:p>
    <w:pPr>
      <w:pStyle w:val="Style29"/>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rFonts w:cs="Times New Roman" w:ascii="Times New Roman" w:hAnsi="Times New Roman"/>
        </w:rPr>
        <w:t>См. напр.: постановление Федерального арбитражного суда Московского округа от 4 сентября 2013 г. по делу N А40-135137/2012.</w:t>
      </w:r>
    </w:p>
  </w:footnote>
  <w:footnote w:id="3">
    <w:p>
      <w:pPr>
        <w:pStyle w:val="Footnotetext"/>
        <w:rPr/>
      </w:pPr>
      <w:r>
        <w:rPr>
          <w:rStyle w:val="Footnotereference"/>
        </w:rPr>
        <w:footnoteRef/>
        <w:tab/>
      </w:r>
      <w:r>
        <w:rPr/>
        <w:t xml:space="preserve"> </w:t>
      </w:r>
      <w:r>
        <w:rPr>
          <w:rFonts w:cs="Times New Roman" w:ascii="Times New Roman" w:hAnsi="Times New Roman"/>
        </w:rPr>
        <w:t>Постановление Федерального арбитражного суда Московского округа от 7 сентября 2012 г. по делу N А40-118546/2010.</w:t>
      </w:r>
    </w:p>
  </w:footnote>
  <w:footnote w:id="4">
    <w:p>
      <w:pPr>
        <w:pStyle w:val="Footnotetext"/>
        <w:rPr/>
      </w:pPr>
      <w:r>
        <w:rPr>
          <w:rStyle w:val="Footnotereference"/>
        </w:rPr>
        <w:footnoteRef/>
        <w:tab/>
      </w:r>
      <w:r>
        <w:rPr/>
        <w:t xml:space="preserve"> </w:t>
      </w:r>
      <w:hyperlink r:id="rId1">
        <w:r>
          <w:rPr>
            <w:rStyle w:val="Style16"/>
            <w:rFonts w:cs="Times New Roman" w:ascii="Times New Roman" w:hAnsi="Times New Roman"/>
            <w:color w:val="0000FF"/>
          </w:rPr>
          <w:t>Постановление</w:t>
        </w:r>
      </w:hyperlink>
      <w:r>
        <w:rPr>
          <w:rFonts w:cs="Times New Roman" w:ascii="Times New Roman" w:hAnsi="Times New Roman"/>
        </w:rPr>
        <w:t xml:space="preserve"> Суда по интеллектуальным правам от 12.10.2015 по делу № А56-23056/2013.</w:t>
      </w:r>
    </w:p>
  </w:footnote>
  <w:footnote w:id="5">
    <w:p>
      <w:pPr>
        <w:pStyle w:val="Footnotetext"/>
        <w:rPr/>
      </w:pPr>
      <w:r>
        <w:rPr>
          <w:rStyle w:val="Footnotereference"/>
        </w:rPr>
        <w:footnoteRef/>
        <w:tab/>
      </w:r>
      <w:r>
        <w:rPr/>
        <w:t xml:space="preserve"> </w:t>
      </w:r>
      <w:r>
        <w:rPr>
          <w:rFonts w:cs="Times New Roman" w:ascii="Times New Roman" w:hAnsi="Times New Roman"/>
        </w:rPr>
        <w:t>Постановление Арбитражного суда Московского округа от 04.09.2013 по делу № А40-135137/2012.</w:t>
      </w:r>
    </w:p>
  </w:footnote>
  <w:footnote w:id="6">
    <w:p>
      <w:pPr>
        <w:pStyle w:val="Normal"/>
        <w:spacing w:lineRule="auto" w:line="240" w:before="0" w:after="0"/>
        <w:jc w:val="both"/>
        <w:rPr/>
      </w:pPr>
      <w:r>
        <w:rPr>
          <w:rStyle w:val="Footnotereference"/>
        </w:rPr>
        <w:footnoteRef/>
        <w:tab/>
      </w:r>
      <w:r>
        <w:rPr/>
        <w:t xml:space="preserve"> </w:t>
      </w:r>
      <w:hyperlink r:id="rId2">
        <w:r>
          <w:rPr>
            <w:rStyle w:val="Style16"/>
            <w:rFonts w:cs="Times New Roman" w:ascii="Times New Roman" w:hAnsi="Times New Roman"/>
            <w:sz w:val="20"/>
            <w:szCs w:val="20"/>
          </w:rPr>
          <w:t>Постановление</w:t>
        </w:r>
      </w:hyperlink>
      <w:r>
        <w:rPr>
          <w:rFonts w:cs="Times New Roman" w:ascii="Times New Roman" w:hAnsi="Times New Roman"/>
          <w:sz w:val="20"/>
          <w:szCs w:val="20"/>
        </w:rPr>
        <w:t xml:space="preserve"> Арбитражного суда Центрального округа от 23.04.2013 по делу N А68-4924/2012.</w:t>
      </w:r>
    </w:p>
  </w:footnote>
  <w:footnote w:id="7">
    <w:p>
      <w:pPr>
        <w:pStyle w:val="Footnotetext"/>
        <w:rPr/>
      </w:pPr>
      <w:r>
        <w:rPr>
          <w:rStyle w:val="Footnotereference"/>
        </w:rPr>
        <w:footnoteRef/>
        <w:tab/>
      </w:r>
      <w:r>
        <w:rPr/>
        <w:t xml:space="preserve"> </w:t>
      </w:r>
      <w:hyperlink r:id="rId3">
        <w:r>
          <w:rPr>
            <w:rStyle w:val="Style16"/>
            <w:rFonts w:cs="Times New Roman" w:ascii="Times New Roman" w:hAnsi="Times New Roman"/>
          </w:rPr>
          <w:t>Постановление</w:t>
        </w:r>
      </w:hyperlink>
      <w:r>
        <w:rPr>
          <w:rFonts w:cs="Times New Roman" w:ascii="Times New Roman" w:hAnsi="Times New Roman"/>
        </w:rPr>
        <w:t xml:space="preserve"> Арбитражного суда Центрального округа от 23.04.2013 по делу N А68-4924/2012.</w:t>
      </w:r>
    </w:p>
  </w:footnote>
  <w:footnote w:id="8">
    <w:p>
      <w:pPr>
        <w:pStyle w:val="Footnotetext"/>
        <w:rPr/>
      </w:pPr>
      <w:r>
        <w:rPr>
          <w:rStyle w:val="Footnotereference"/>
        </w:rPr>
        <w:footnoteRef/>
        <w:tab/>
      </w:r>
      <w:r>
        <w:rPr/>
        <w:t xml:space="preserve"> </w:t>
      </w:r>
      <w:hyperlink r:id="rId4">
        <w:r>
          <w:rPr>
            <w:rStyle w:val="Style16"/>
            <w:rFonts w:cs="Times New Roman" w:ascii="Times New Roman" w:hAnsi="Times New Roman"/>
          </w:rPr>
          <w:t>Постановление</w:t>
        </w:r>
      </w:hyperlink>
      <w:r>
        <w:rPr>
          <w:rFonts w:cs="Times New Roman" w:ascii="Times New Roman" w:hAnsi="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9">
    <w:p>
      <w:pPr>
        <w:pStyle w:val="Footnotetext"/>
        <w:rPr/>
      </w:pPr>
      <w:r>
        <w:rPr>
          <w:rStyle w:val="Footnotereference"/>
          <w:rFonts w:cs="Times New Roman" w:ascii="Times New Roman" w:hAnsi="Times New Roman"/>
        </w:rPr>
        <w:footnoteRef/>
        <w:tab/>
      </w:r>
      <w:r>
        <w:rPr>
          <w:rFonts w:cs="Times New Roman" w:ascii="Times New Roman" w:hAnsi="Times New Roman"/>
          <w:iCs/>
        </w:rPr>
        <w:t>На основании позиции, изложенной в письме ФАС России от 20.04.2016 № СП/26242/16.</w:t>
      </w:r>
    </w:p>
  </w:footnote>
  <w:footnote w:id="10">
    <w:p>
      <w:pPr>
        <w:pStyle w:val="Footnotetext"/>
        <w:jc w:val="both"/>
        <w:rPr/>
      </w:pPr>
      <w:r>
        <w:rPr>
          <w:rStyle w:val="Footnotereference"/>
          <w:rFonts w:eastAsia="Arial Unicode MS" w:ascii="Times New Roman" w:hAnsi="Times New Roman"/>
        </w:rPr>
        <w:footnoteRef/>
        <w:tab/>
      </w:r>
      <w:r>
        <w:rPr>
          <w:rFonts w:eastAsia="Arial Unicode MS" w:ascii="Times New Roman" w:hAnsi="Times New Roman"/>
        </w:rPr>
        <w:t xml:space="preserve"> </w:t>
      </w:r>
      <w:r>
        <w:rPr>
          <w:rFonts w:eastAsia="Arial Unicode MS" w:ascii="Times New Roman"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1">
    <w:p>
      <w:pPr>
        <w:pStyle w:val="Normal"/>
        <w:spacing w:lineRule="auto" w:line="240" w:before="0" w:after="0"/>
        <w:jc w:val="both"/>
        <w:rPr/>
      </w:pPr>
      <w:r>
        <w:rPr>
          <w:rStyle w:val="Footnotereference"/>
          <w:rFonts w:ascii="Times New Roman" w:hAnsi="Times New Roman"/>
          <w:sz w:val="20"/>
          <w:szCs w:val="20"/>
        </w:rPr>
        <w:footnoteRef/>
        <w:tab/>
      </w:r>
      <w:r>
        <w:rPr>
          <w:rFonts w:eastAsia="Times New Roman" w:ascii="Times New Roman" w:hAnsi="Times New Roman"/>
          <w:sz w:val="20"/>
          <w:szCs w:val="20"/>
          <w:lang w:eastAsia="ru-RU"/>
        </w:rPr>
        <w:t xml:space="preserve"> </w:t>
      </w:r>
      <w:r>
        <w:rPr>
          <w:rFonts w:eastAsia="Times New Roman" w:ascii="Times New Roman" w:hAnsi="Times New Roman"/>
          <w:sz w:val="20"/>
          <w:szCs w:val="20"/>
          <w:lang w:eastAsia="ru-RU"/>
        </w:rPr>
        <w:t xml:space="preserve">Порядок </w:t>
      </w:r>
      <w:r>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Pr>
          <w:rFonts w:eastAsia="Times New Roman" w:ascii="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Pr>
          <w:rFonts w:ascii="Times New Roman" w:hAnsi="Times New Roman"/>
          <w:sz w:val="20"/>
          <w:szCs w:val="20"/>
        </w:rPr>
        <w:t>№ 433</w:t>
      </w:r>
      <w:r>
        <w:rPr>
          <w:rFonts w:eastAsia="Times New Roman" w:ascii="Times New Roman" w:hAnsi="Times New Roman"/>
          <w:sz w:val="20"/>
          <w:szCs w:val="20"/>
          <w:lang w:eastAsia="ru-RU"/>
        </w:rPr>
        <w:t>.</w:t>
      </w:r>
    </w:p>
  </w:footnote>
  <w:footnote w:id="12">
    <w:p>
      <w:pPr>
        <w:pStyle w:val="ConsPlusNormal"/>
        <w:jc w:val="both"/>
        <w:rPr/>
      </w:pPr>
      <w:r>
        <w:rPr>
          <w:rStyle w:val="Footnotereference"/>
          <w:sz w:val="20"/>
          <w:szCs w:val="20"/>
        </w:rPr>
        <w:footnoteRef/>
        <w:tab/>
      </w:r>
      <w:r>
        <w:rPr>
          <w:sz w:val="20"/>
          <w:szCs w:val="20"/>
        </w:rPr>
        <w:t xml:space="preserve"> </w:t>
      </w:r>
      <w:r>
        <w:rPr>
          <w:sz w:val="20"/>
          <w:szCs w:val="20"/>
        </w:rPr>
        <w:t>Так, понятие «смежный рынок» встречается, например, в пункте 9.5 Порядка анализа состояния конкуренции.</w:t>
      </w:r>
    </w:p>
  </w:footnote>
  <w:footnote w:id="13">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Порядок установления доминирующего положения изложен ранее в пункте 1.3 настоящих Разъяснений.</w:t>
      </w:r>
    </w:p>
  </w:footnote>
  <w:footnote w:id="14">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Постановление Президиума Высшего Арбитражного Суда Российской Федерации  от 11.12.2012 № 3660/12.</w:t>
      </w:r>
    </w:p>
  </w:footnote>
  <w:footnote w:id="15">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6">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Статья 39</w:t>
      </w:r>
      <w:r>
        <w:rPr>
          <w:rFonts w:ascii="Times New Roman" w:hAnsi="Times New Roman"/>
          <w:vertAlign w:val="superscript"/>
        </w:rPr>
        <w:t>1</w:t>
      </w:r>
      <w:r>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7">
    <w:p>
      <w:pPr>
        <w:pStyle w:val="ConsPlusNormal"/>
        <w:jc w:val="both"/>
        <w:rPr/>
      </w:pPr>
      <w:r>
        <w:rPr>
          <w:rStyle w:val="Footnotereference"/>
          <w:sz w:val="20"/>
          <w:szCs w:val="20"/>
        </w:rPr>
        <w:footnoteRef/>
        <w:tab/>
      </w:r>
      <w:r>
        <w:rPr>
          <w:sz w:val="20"/>
          <w:szCs w:val="20"/>
          <w:lang w:val="en-US"/>
        </w:rPr>
        <w:t> </w:t>
      </w:r>
      <w:r>
        <w:rPr>
          <w:sz w:val="20"/>
          <w:szCs w:val="20"/>
        </w:rPr>
        <w:t>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16.03.2016.</w:t>
      </w:r>
    </w:p>
  </w:footnote>
  <w:footnote w:id="18">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8"/>
        <w:spacing w:val="0"/>
        <w:i w:val="false"/>
        <w:u w:val="none"/>
        <w:b w:val="false"/>
        <w:w w:val="100"/>
        <w:color w:val="000000"/>
      </w:rPr>
    </w:lvl>
    <w:lvl w:ilvl="1">
      <w:start w:val="1"/>
      <w:numFmt w:val="decimal"/>
      <w:lvlText w:val="%2)"/>
      <w:lvlJc w:val="left"/>
      <w:pPr>
        <w:ind w:left="1080" w:hanging="360"/>
      </w:pPr>
      <w:rPr>
        <w:smallCaps w:val="false"/>
        <w:caps w:val="false"/>
        <w:dstrike w:val="false"/>
        <w:strike w:val="false"/>
        <w:sz w:val="28"/>
        <w:spacing w:val="0"/>
        <w:i w:val="false"/>
        <w:u w:val="none"/>
        <w:b w:val="false"/>
        <w:szCs w:val="28"/>
        <w:iCs w:val="false"/>
        <w:bCs w:val="false"/>
        <w:w w:val="100"/>
        <w:rFonts w:ascii="Times New Roman" w:hAnsi="Times New Roman" w:cs="Times New Roman"/>
        <w:color w:val="000000"/>
      </w:rPr>
    </w:lvl>
    <w:lvl w:ilvl="2">
      <w:start w:val="1"/>
      <w:numFmt w:val="decimal"/>
      <w:lvlText w:val="%3)"/>
      <w:lvlJc w:val="left"/>
      <w:pPr>
        <w:ind w:left="1440" w:hanging="360"/>
      </w:pPr>
      <w:rPr>
        <w:smallCaps w:val="false"/>
        <w:caps w:val="false"/>
        <w:dstrike w:val="false"/>
        <w:strike w:val="false"/>
        <w:sz w:val="28"/>
        <w:spacing w:val="0"/>
        <w:i w:val="false"/>
        <w:u w:val="none"/>
        <w:b w:val="false"/>
        <w:szCs w:val="27"/>
        <w:iCs w:val="false"/>
        <w:bCs w:val="false"/>
        <w:w w:val="100"/>
        <w:rFonts w:ascii="Times New Roman" w:hAnsi="Times New Roman" w:cs="Times New Roman"/>
        <w:color w:val="000000"/>
      </w:rPr>
    </w:lvl>
    <w:lvl w:ilvl="3">
      <w:start w:val="1"/>
      <w:numFmt w:val="decimal"/>
      <w:lvlText w:val="%4)"/>
      <w:lvlJc w:val="left"/>
      <w:pPr>
        <w:ind w:left="1800" w:hanging="360"/>
      </w:pPr>
      <w:rPr>
        <w:smallCaps w:val="false"/>
        <w:caps w:val="false"/>
        <w:dstrike w:val="false"/>
        <w:strike w:val="false"/>
        <w:sz w:val="28"/>
        <w:spacing w:val="0"/>
        <w:i w:val="false"/>
        <w:u w:val="none"/>
        <w:b w:val="false"/>
        <w:szCs w:val="27"/>
        <w:iCs w:val="false"/>
        <w:bCs w:val="false"/>
        <w:w w:val="100"/>
        <w:rFonts w:ascii="Times New Roman" w:hAnsi="Times New Roman" w:cs="Times New Roman"/>
        <w:color w:val="000000"/>
      </w:rPr>
    </w:lvl>
    <w:lvl w:ilvl="4">
      <w:start w:val="1"/>
      <w:numFmt w:val="decimal"/>
      <w:lvlText w:val="%4.%5)"/>
      <w:lvlJc w:val="left"/>
      <w:pPr>
        <w:ind w:left="216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5">
      <w:start w:val="1"/>
      <w:numFmt w:val="decimal"/>
      <w:lvlText w:val="%4.%5.%6)"/>
      <w:lvlJc w:val="left"/>
      <w:pPr>
        <w:ind w:left="252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6">
      <w:start w:val="1"/>
      <w:numFmt w:val="decimal"/>
      <w:lvlText w:val="%4.%5.%6.%7)"/>
      <w:lvlJc w:val="left"/>
      <w:pPr>
        <w:ind w:left="288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7">
      <w:start w:val="1"/>
      <w:numFmt w:val="decimal"/>
      <w:lvlText w:val="%4.%5.%6.%7.%8)"/>
      <w:lvlJc w:val="left"/>
      <w:pPr>
        <w:ind w:left="324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8">
      <w:start w:val="1"/>
      <w:numFmt w:val="decimal"/>
      <w:lvlText w:val="%4.%5.%6.%7.%8.%9)"/>
      <w:lvlJc w:val="left"/>
      <w:pPr>
        <w:ind w:left="3600" w:hanging="360"/>
      </w:pPr>
      <w:rPr>
        <w:smallCaps w:val="false"/>
        <w:caps w:val="false"/>
        <w:dstrike w:val="false"/>
        <w:strike w:val="false"/>
        <w:sz w:val="27"/>
        <w:spacing w:val="0"/>
        <w:i w:val="false"/>
        <w:u w:val="none"/>
        <w:b w:val="false"/>
        <w:szCs w:val="27"/>
        <w:iCs w:val="false"/>
        <w:bCs w:val="false"/>
        <w:w w:val="100"/>
        <w:rFonts w:cs="Times New Roman"/>
        <w:color w:val="000000"/>
      </w:rPr>
    </w:lvl>
  </w:abstractNum>
  <w:abstractNum w:abstractNumId="2">
    <w:lvl w:ilvl="0">
      <w:start w:val="1"/>
      <w:numFmt w:val="decimal"/>
      <w:lvlText w:val="%1)"/>
      <w:lvlJc w:val="left"/>
      <w:pPr>
        <w:ind w:left="720" w:hanging="360"/>
      </w:pPr>
      <w:rPr>
        <w:smallCaps w:val="false"/>
        <w:caps w:val="false"/>
        <w:dstrike w:val="false"/>
        <w:strike w:val="false"/>
        <w:sz w:val="28"/>
        <w:spacing w:val="0"/>
        <w:i w:val="false"/>
        <w:u w:val="none"/>
        <w:b w:val="false"/>
        <w:szCs w:val="27"/>
        <w:iCs w:val="false"/>
        <w:bCs w:val="false"/>
        <w:w w:val="100"/>
        <w:rFonts w:ascii="Times New Roman" w:hAnsi="Times New Roman" w:cs="Times New Roman"/>
        <w:color w:val="000000"/>
      </w:rPr>
    </w:lvl>
    <w:lvl w:ilvl="1">
      <w:start w:val="1"/>
      <w:numFmt w:val="decimal"/>
      <w:lvlText w:val="%1.%2)"/>
      <w:lvlJc w:val="left"/>
      <w:pPr>
        <w:ind w:left="108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2">
      <w:start w:val="1"/>
      <w:numFmt w:val="decimal"/>
      <w:lvlText w:val="%1.%2.%3)"/>
      <w:lvlJc w:val="left"/>
      <w:pPr>
        <w:ind w:left="144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3">
      <w:start w:val="1"/>
      <w:numFmt w:val="decimal"/>
      <w:lvlText w:val="%1.%2.%3.%4)"/>
      <w:lvlJc w:val="left"/>
      <w:pPr>
        <w:ind w:left="180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4">
      <w:start w:val="1"/>
      <w:numFmt w:val="decimal"/>
      <w:lvlText w:val="%1.%2.%3.%4.%5)"/>
      <w:lvlJc w:val="left"/>
      <w:pPr>
        <w:ind w:left="216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5">
      <w:start w:val="1"/>
      <w:numFmt w:val="decimal"/>
      <w:lvlText w:val="%1.%2.%3.%4.%5.%6)"/>
      <w:lvlJc w:val="left"/>
      <w:pPr>
        <w:ind w:left="252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6">
      <w:start w:val="1"/>
      <w:numFmt w:val="decimal"/>
      <w:lvlText w:val="%1.%2.%3.%4.%5.%6.%7)"/>
      <w:lvlJc w:val="left"/>
      <w:pPr>
        <w:ind w:left="288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7">
      <w:start w:val="1"/>
      <w:numFmt w:val="decimal"/>
      <w:lvlText w:val="%1.%2.%3.%4.%5.%6.%7.%8)"/>
      <w:lvlJc w:val="left"/>
      <w:pPr>
        <w:ind w:left="324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8">
      <w:start w:val="1"/>
      <w:numFmt w:val="decimal"/>
      <w:lvlText w:val="%1.%2.%3.%4.%5.%6.%7.%8.%9)"/>
      <w:lvlJc w:val="left"/>
      <w:pPr>
        <w:ind w:left="3600" w:hanging="360"/>
      </w:pPr>
      <w:rPr>
        <w:smallCaps w:val="false"/>
        <w:caps w:val="false"/>
        <w:dstrike w:val="false"/>
        <w:strike w:val="false"/>
        <w:sz w:val="27"/>
        <w:spacing w:val="0"/>
        <w:i w:val="false"/>
        <w:u w:val="none"/>
        <w:b w:val="false"/>
        <w:szCs w:val="27"/>
        <w:iCs w:val="false"/>
        <w:bCs w:val="false"/>
        <w:w w:val="100"/>
        <w:rFonts w:cs="Times New Roman"/>
        <w:color w:val="000000"/>
      </w:rPr>
    </w:lvl>
  </w:abstractNum>
  <w:abstractNum w:abstractNumId="3">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lvl w:ilvl="0">
      <w:start w:val="1"/>
      <w:numFmt w:val="decimal"/>
      <w:lvlText w:val="%1."/>
      <w:lvlJc w:val="left"/>
      <w:pPr>
        <w:ind w:left="720" w:hanging="360"/>
      </w:p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7">
    <w:lvl w:ilvl="0">
      <w:start w:val="1"/>
      <w:numFmt w:val="decimal"/>
      <w:lvlText w:val="%1."/>
      <w:lvlJc w:val="left"/>
      <w:pPr>
        <w:ind w:left="2061" w:hanging="360"/>
      </w:pPr>
      <w:rPr>
        <w:sz w:val="28"/>
        <w:b/>
        <w:rFonts w:ascii="Times New Roman" w:hAnsi="Times New Roman"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0b72a0"/>
    <w:rPr/>
  </w:style>
  <w:style w:type="character" w:styleId="Style15" w:customStyle="1">
    <w:name w:val="Нижний колонтитул Знак"/>
    <w:basedOn w:val="DefaultParagraphFont"/>
    <w:link w:val="a6"/>
    <w:uiPriority w:val="99"/>
    <w:qFormat/>
    <w:rsid w:val="000b72a0"/>
    <w:rPr/>
  </w:style>
  <w:style w:type="character" w:styleId="Style16">
    <w:name w:val="Интернет-ссылка"/>
    <w:uiPriority w:val="99"/>
    <w:unhideWhenUsed/>
    <w:rsid w:val="0064464e"/>
    <w:rPr>
      <w:color w:val="0563C1"/>
      <w:u w:val="single"/>
    </w:rPr>
  </w:style>
  <w:style w:type="character" w:styleId="Style17" w:customStyle="1">
    <w:name w:val="Текст сноски Знак"/>
    <w:basedOn w:val="DefaultParagraphFont"/>
    <w:link w:val="a9"/>
    <w:uiPriority w:val="99"/>
    <w:semiHidden/>
    <w:qFormat/>
    <w:rsid w:val="005c629f"/>
    <w:rPr>
      <w:sz w:val="20"/>
      <w:szCs w:val="20"/>
    </w:rPr>
  </w:style>
  <w:style w:type="character" w:styleId="Footnotereference">
    <w:name w:val="footnote reference"/>
    <w:basedOn w:val="DefaultParagraphFont"/>
    <w:uiPriority w:val="99"/>
    <w:semiHidden/>
    <w:unhideWhenUsed/>
    <w:qFormat/>
    <w:rsid w:val="005c629f"/>
    <w:rPr>
      <w:vertAlign w:val="superscript"/>
    </w:rPr>
  </w:style>
  <w:style w:type="character" w:styleId="Style18" w:customStyle="1">
    <w:name w:val="Текст выноски Знак"/>
    <w:basedOn w:val="DefaultParagraphFont"/>
    <w:link w:val="ac"/>
    <w:uiPriority w:val="99"/>
    <w:semiHidden/>
    <w:qFormat/>
    <w:rsid w:val="004536af"/>
    <w:rPr>
      <w:rFonts w:ascii="Segoe UI" w:hAnsi="Segoe UI" w:cs="Segoe UI"/>
      <w:sz w:val="18"/>
      <w:szCs w:val="18"/>
    </w:rPr>
  </w:style>
  <w:style w:type="character" w:styleId="ListLabel1">
    <w:name w:val="ListLabel 1"/>
    <w:qFormat/>
    <w:rPr>
      <w:rFonts w:ascii="Times New Roman" w:hAnsi="Times New Roman"/>
      <w:b w:val="false"/>
      <w:i w:val="false"/>
      <w:caps w:val="false"/>
      <w:smallCaps w:val="false"/>
      <w:strike w:val="false"/>
      <w:dstrike w:val="false"/>
      <w:color w:val="000000"/>
      <w:spacing w:val="0"/>
      <w:w w:val="100"/>
      <w:sz w:val="28"/>
      <w:u w:val="none"/>
    </w:rPr>
  </w:style>
  <w:style w:type="character" w:styleId="ListLabel2">
    <w:name w:val="ListLabel 2"/>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
    <w:name w:val="ListLabel 3"/>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4">
    <w:name w:val="ListLabel 4"/>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5">
    <w:name w:val="ListLabel 5"/>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
    <w:name w:val="ListLabel 6"/>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7">
    <w:name w:val="ListLabel 7"/>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8">
    <w:name w:val="ListLabel 8"/>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9">
    <w:name w:val="ListLabel 9"/>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0">
    <w:name w:val="ListLabel 10"/>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11">
    <w:name w:val="ListLabel 11"/>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2">
    <w:name w:val="ListLabel 12"/>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3">
    <w:name w:val="ListLabel 13"/>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4">
    <w:name w:val="ListLabel 14"/>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5">
    <w:name w:val="ListLabel 15"/>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6">
    <w:name w:val="ListLabel 16"/>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7">
    <w:name w:val="ListLabel 17"/>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8">
    <w:name w:val="ListLabel 18"/>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9">
    <w:name w:val="ListLabel 19"/>
    <w:qFormat/>
    <w:rPr>
      <w:rFonts w:ascii="Times New Roman" w:hAnsi="Times New Roman"/>
      <w:sz w:val="28"/>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imes New Roman" w:hAnsi="Times New Roman" w:cs="Times New Roman"/>
      <w:b/>
      <w:sz w:val="28"/>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Style19">
    <w:name w:val="Символ сноски"/>
    <w:qFormat/>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ы концевой сноски"/>
    <w:qFormat/>
    <w:rPr/>
  </w:style>
  <w:style w:type="paragraph" w:styleId="Style23">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Body Text"/>
    <w:basedOn w:val="Normal"/>
    <w:pPr>
      <w:spacing w:lineRule="auto" w:line="288"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NormalWeb">
    <w:name w:val="Normal (Web)"/>
    <w:basedOn w:val="Normal"/>
    <w:uiPriority w:val="99"/>
    <w:unhideWhenUsed/>
    <w:qFormat/>
    <w:rsid w:val="000b72a0"/>
    <w:pPr>
      <w:spacing w:lineRule="auto" w:line="240" w:beforeAutospacing="1" w:after="119"/>
    </w:pPr>
    <w:rPr>
      <w:rFonts w:ascii="Times New Roman" w:hAnsi="Times New Roman" w:eastAsia="Times New Roman" w:cs="Times New Roman"/>
      <w:sz w:val="24"/>
      <w:szCs w:val="24"/>
      <w:lang w:eastAsia="ru-RU"/>
    </w:rPr>
  </w:style>
  <w:style w:type="paragraph" w:styleId="Style28">
    <w:name w:val="Header"/>
    <w:basedOn w:val="Normal"/>
    <w:link w:val="a5"/>
    <w:uiPriority w:val="99"/>
    <w:unhideWhenUsed/>
    <w:rsid w:val="000b72a0"/>
    <w:pPr>
      <w:tabs>
        <w:tab w:val="center" w:pos="4677" w:leader="none"/>
        <w:tab w:val="right" w:pos="9355" w:leader="none"/>
      </w:tabs>
      <w:spacing w:lineRule="auto" w:line="240" w:before="0" w:after="0"/>
    </w:pPr>
    <w:rPr/>
  </w:style>
  <w:style w:type="paragraph" w:styleId="Style29">
    <w:name w:val="Footer"/>
    <w:basedOn w:val="Normal"/>
    <w:link w:val="a7"/>
    <w:uiPriority w:val="99"/>
    <w:unhideWhenUsed/>
    <w:rsid w:val="000b72a0"/>
    <w:pPr>
      <w:tabs>
        <w:tab w:val="center" w:pos="4677" w:leader="none"/>
        <w:tab w:val="right" w:pos="9355" w:leader="none"/>
      </w:tabs>
      <w:spacing w:lineRule="auto" w:line="240" w:before="0" w:after="0"/>
    </w:pPr>
    <w:rPr/>
  </w:style>
  <w:style w:type="paragraph" w:styleId="ConsPlusNormal" w:customStyle="1">
    <w:name w:val="ConsPlusNormal"/>
    <w:qFormat/>
    <w:rsid w:val="00b65dda"/>
    <w:pPr>
      <w:widowControl/>
      <w:bidi w:val="0"/>
      <w:spacing w:lineRule="auto" w:line="240" w:before="0" w:after="0"/>
      <w:jc w:val="left"/>
    </w:pPr>
    <w:rPr>
      <w:rFonts w:ascii="Times New Roman" w:hAnsi="Times New Roman" w:eastAsia="Calibri" w:cs="Times New Roman" w:eastAsiaTheme="minorHAnsi"/>
      <w:color w:val="auto"/>
      <w:sz w:val="28"/>
      <w:szCs w:val="28"/>
      <w:lang w:eastAsia="ru-RU" w:val="ru-RU" w:bidi="ar-SA"/>
    </w:rPr>
  </w:style>
  <w:style w:type="paragraph" w:styleId="Footnotetext">
    <w:name w:val="footnote text"/>
    <w:basedOn w:val="Normal"/>
    <w:link w:val="aa"/>
    <w:uiPriority w:val="99"/>
    <w:semiHidden/>
    <w:unhideWhenUsed/>
    <w:qFormat/>
    <w:rsid w:val="005c629f"/>
    <w:pPr>
      <w:spacing w:lineRule="auto" w:line="240" w:before="0" w:after="0"/>
    </w:pPr>
    <w:rPr>
      <w:sz w:val="20"/>
      <w:szCs w:val="20"/>
    </w:rPr>
  </w:style>
  <w:style w:type="paragraph" w:styleId="BalloonText">
    <w:name w:val="Balloon Text"/>
    <w:basedOn w:val="Normal"/>
    <w:link w:val="ad"/>
    <w:uiPriority w:val="99"/>
    <w:semiHidden/>
    <w:unhideWhenUsed/>
    <w:qFormat/>
    <w:rsid w:val="004536af"/>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7567a"/>
    <w:pPr>
      <w:spacing w:before="0" w:after="160"/>
      <w:ind w:left="720" w:hanging="0"/>
      <w:contextualSpacing/>
    </w:pPr>
    <w:rPr/>
  </w:style>
  <w:style w:type="paragraph" w:styleId="Style30">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90ECD3A4076B14028AB480C8DE99C960F219DEE4C6FB7627D38291E7FF923A1AEDBDA984E1862B6v2I" TargetMode="External"/><Relationship Id="rId3" Type="http://schemas.openxmlformats.org/officeDocument/2006/relationships/hyperlink" Target="consultantplus://offline/ref=343B1993C5FD204A2E04C8FF0D39E17B0760D592EFBFB25210210346CAC32092C4ED456829D8G0M" TargetMode="External"/><Relationship Id="rId4" Type="http://schemas.openxmlformats.org/officeDocument/2006/relationships/hyperlink" Target="consultantplus://offline/ref=5E27A05F0C9590DCFF9DEACC093E94513169B49EF00391799C2B19FFC640464E9E50563E25MFHAM" TargetMode="External"/><Relationship Id="rId5" Type="http://schemas.openxmlformats.org/officeDocument/2006/relationships/hyperlink" Target="consultantplus://offline/ref=5DFD3238610D79BB722C5BE30ADF45F80EF33F9C830225137D0F8BE2817B961F7562191821sCwFM" TargetMode="External"/><Relationship Id="rId6" Type="http://schemas.openxmlformats.org/officeDocument/2006/relationships/hyperlink" Target="consultantplus://offline/ref=5DFD3238610D79BB722C5BE30ADF45F80EF33F9C830225137D0F8BE2817B961F7562191821sCwBM" TargetMode="External"/><Relationship Id="rId7" Type="http://schemas.openxmlformats.org/officeDocument/2006/relationships/hyperlink" Target="consultantplus://offline/ref=5DFD3238610D79BB722C5BE30ADF45F80EF33F9C830225137D0F8BE2817B961F7562191A20CF6839sCw1M" TargetMode="External"/><Relationship Id="rId8" Type="http://schemas.openxmlformats.org/officeDocument/2006/relationships/hyperlink" Target="consultantplus://offline/ref=5DFD3238610D79BB722C5BE30ADF45F80EF33F9C830225137D0F8BE2817B961F7562191824sCwEM" TargetMode="External"/><Relationship Id="rId9" Type="http://schemas.openxmlformats.org/officeDocument/2006/relationships/hyperlink" Target="consultantplus://offline/ref=CF2E04729FE8D414552EF5A7AA9D7CA1ECFEAA379D85858CB6F9EA983C2D19ADA634D8FC92973945XBRCI" TargetMode="External"/><Relationship Id="rId10" Type="http://schemas.openxmlformats.org/officeDocument/2006/relationships/hyperlink" Target="consultantplus://offline/ref=CF2E04729FE8D414552EF5A7AA9D7CA1ECFEAA379D85858CB6F9EA983C2D19ADA634D8FC92973942XBRBI" TargetMode="External"/><Relationship Id="rId11" Type="http://schemas.openxmlformats.org/officeDocument/2006/relationships/hyperlink" Target="consultantplus://offline/ref=754358845FA9443708A431EB43735FAEE9B6BA3B1999E51F6142E12C0C12B5CC61E18CD0DCA75D57jBu7H" TargetMode="External"/><Relationship Id="rId12" Type="http://schemas.openxmlformats.org/officeDocument/2006/relationships/hyperlink" Target="consultantplus://offline/ref=328F5D8B6ABBBFF60CE707213488FF672C265DF0A20D8E6B5B2939B8F823948189EDDF85E57BE9ABN2vDH" TargetMode="External"/><Relationship Id="rId13" Type="http://schemas.openxmlformats.org/officeDocument/2006/relationships/hyperlink" Target="consultantplus://offline/ref=328F5D8B6ABBBFF60CE707213488FF672C265DF0A20D8E6B5B2939B8F823948189EDDF82E2N7vFH" TargetMode="External"/><Relationship Id="rId14" Type="http://schemas.openxmlformats.org/officeDocument/2006/relationships/hyperlink" Target="consultantplus://offline/ref=0F495E591AB536EC9AE528730B86D2F77C68E54F186016D04D5CB2E6E1854FC3583C9457A31CF574vAP4I" TargetMode="External"/><Relationship Id="rId15" Type="http://schemas.openxmlformats.org/officeDocument/2006/relationships/hyperlink" Target="consultantplus://offline/ref=0F495E591AB536EC9AE528730B86D2F77C68E54F186016D04D5CB2E6E1854FC3583C9457A31CF574vAP0I" TargetMode="External"/><Relationship Id="rId16" Type="http://schemas.openxmlformats.org/officeDocument/2006/relationships/hyperlink" Target="consultantplus://offline/ref=0F495E591AB536EC9AE528730B86D2F77C68E54F186016D04D5CB2E6E1854FC3583C9457A31CF47DvAP6I" TargetMode="External"/><Relationship Id="rId17" Type="http://schemas.openxmlformats.org/officeDocument/2006/relationships/hyperlink" Target="consultantplus://offline/ref=0F495E591AB536EC9AE528730B86D2F77C68E54F186016D04D5CB2E6E1854FC3583C9457A31CF47DvAP5I" TargetMode="External"/><Relationship Id="rId18" Type="http://schemas.openxmlformats.org/officeDocument/2006/relationships/hyperlink" Target="consultantplus://offline/ref=0F495E591AB536EC9AE528730B86D2F77C68E54F186016D04D5CB2E6E1854FC3583C9455A3v1PCI" TargetMode="External"/><Relationship Id="rId19" Type="http://schemas.openxmlformats.org/officeDocument/2006/relationships/hyperlink" Target="consultantplus://offline/ref=BC5DE95A317017FD78D3C1BDF1CEA7A75E56CD12EAAB26A58358CF90AF806C2779FBA5D92EzEr6K" TargetMode="External"/><Relationship Id="rId20" Type="http://schemas.openxmlformats.org/officeDocument/2006/relationships/hyperlink" Target="consultantplus://offline/ref=BC5DE95A317017FD78D3C1BDF1CEA7A75E57C91EEEAF26A58358CF90AF806C2779FBA5DD2DE186FEz1rDK" TargetMode="External"/><Relationship Id="rId21" Type="http://schemas.openxmlformats.org/officeDocument/2006/relationships/hyperlink" Target="consultantplus://offline/ref=BC5DE95A317017FD78D3C1BDF1CEA7A75E56CD12EAAB26A58358CF90AF806C2779FBA5DD2DE186FEz1r6K" TargetMode="External"/><Relationship Id="rId22" Type="http://schemas.openxmlformats.org/officeDocument/2006/relationships/hyperlink" Target="consultantplus://offline/ref=BC5DE95A317017FD78D3C1BDF1CEA7A75E56CD12EAAB26A58358CF90AF806C2779FBA5DD2DE186FEz1r9K" TargetMode="External"/><Relationship Id="rId23" Type="http://schemas.openxmlformats.org/officeDocument/2006/relationships/hyperlink" Target="consultantplus://offline/ref=BC5DE95A317017FD78D3C1BDF1CEA7A75E56CD12EAAB26A58358CF90AF806C2779FBA5DD2DE187F7z1rCK" TargetMode="External"/><Relationship Id="rId24" Type="http://schemas.openxmlformats.org/officeDocument/2006/relationships/hyperlink" Target="consultantplus://offline/ref=BC5DE95A317017FD78D3C1BDF1CEA7A75E56CD12EAAB26A58358CF90AF806C2779FBA5DD2DE186FEz1r7K" TargetMode="External"/><Relationship Id="rId25" Type="http://schemas.openxmlformats.org/officeDocument/2006/relationships/hyperlink" Target="consultantplus://offline/ref=BC5DE95A317017FD78D3C1BDF1CEA7A75E56CD12EAAB26A58358CF90AF806C2779FBA5DF28zEr2K" TargetMode="External"/><Relationship Id="rId26" Type="http://schemas.openxmlformats.org/officeDocument/2006/relationships/hyperlink" Target="consultantplus://offline/ref=8DB6362BFEA32E469D59BB7D7C44534AB50B12276766079019F36EB40DD2FAC1D927734E33F3C16An6M3H" TargetMode="External"/><Relationship Id="rId27" Type="http://schemas.openxmlformats.org/officeDocument/2006/relationships/hyperlink" Target="consultantplus://offline/ref=6E4AF185DFCCF154F828145B385ABC2AB0B7BE254EA0F4849AA7E9A64976C5984131386EAAs7r9K" TargetMode="External"/><Relationship Id="rId28" Type="http://schemas.openxmlformats.org/officeDocument/2006/relationships/hyperlink" Target="consultantplus://offline/ref=09CBC6E7B368B42C2DA398624CCD91C5F30E8A08CE51A27176501BDE84D4A18D50CB80E29ABBx1G" TargetMode="External"/><Relationship Id="rId29" Type="http://schemas.openxmlformats.org/officeDocument/2006/relationships/hyperlink" Target="consultantplus://offline/ref=6E4AF185DFCCF154F828145B385ABC2AB0B6B9244EA6F4849AA7E9A64976C5984131386CAD79167DsBr4K" TargetMode="External"/><Relationship Id="rId30" Type="http://schemas.openxmlformats.org/officeDocument/2006/relationships/hyperlink" Target="consultantplus://offline/ref=6E4AF185DFCCF154F828145B385ABC2AB0B6B9244EA6F4849AA7E9A64976C59841313865AFs7r0K" TargetMode="External"/><Relationship Id="rId31" Type="http://schemas.openxmlformats.org/officeDocument/2006/relationships/hyperlink" Target="consultantplus://offline/ref=65482FADC458E372E7583042EE894A74E771729B0BE651623B11FDD991088A0EACD2732F7D10AEB6MBi1I" TargetMode="External"/><Relationship Id="rId32" Type="http://schemas.openxmlformats.org/officeDocument/2006/relationships/hyperlink" Target="consultantplus://offline/ref=3B51AFB668C5610ACC4254B1A77B0BBAC8E0D6EDA499ADD40AC6382B0A1DC399D6FBB19693BB5D72Y6x3I" TargetMode="External"/><Relationship Id="rId33" Type="http://schemas.openxmlformats.org/officeDocument/2006/relationships/hyperlink" Target="consultantplus://offline/ref=3B51AFB668C5610ACC4254B1A77B0BBACBE6D8E3A998ADD40AC6382B0A1DC399D6FBB194Y9xBI" TargetMode="External"/><Relationship Id="rId34" Type="http://schemas.openxmlformats.org/officeDocument/2006/relationships/hyperlink" Target="consultantplus://offline/ref=68CAB90FF4D32ED88F639548ED834AF647EF3B2335AC61FA0DE43680F9B17247831EB127x337L" TargetMode="External"/><Relationship Id="rId35" Type="http://schemas.openxmlformats.org/officeDocument/2006/relationships/hyperlink" Target="consultantplus://offline/ref=19580D6A3E9ED6AED2904A228164E2E6268E5C55788E0EFFB55248AD65364E07A4F620E919A9A0D2e8gAI" TargetMode="External"/><Relationship Id="rId36" Type="http://schemas.openxmlformats.org/officeDocument/2006/relationships/footer" Target="footer1.xml"/><Relationship Id="rId37" Type="http://schemas.openxmlformats.org/officeDocument/2006/relationships/footnotes" Target="footnotes.xml"/><Relationship Id="rId38" Type="http://schemas.openxmlformats.org/officeDocument/2006/relationships/numbering" Target="numbering.xml"/><Relationship Id="rId39" Type="http://schemas.openxmlformats.org/officeDocument/2006/relationships/fontTable" Target="fontTable.xml"/><Relationship Id="rId40" Type="http://schemas.openxmlformats.org/officeDocument/2006/relationships/settings" Target="settings.xml"/><Relationship Id="rId41" Type="http://schemas.openxmlformats.org/officeDocument/2006/relationships/theme" Target="theme/theme1.xml"/><Relationship Id="rId4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consultantplus://offline/ref=BC5DE95A317017FD78D3DEB5F6CEA7A75D51CC1FEDA37BAF8B01C392zAr8K" TargetMode="External"/><Relationship Id="rId2" Type="http://schemas.openxmlformats.org/officeDocument/2006/relationships/hyperlink" Target="consultantplus://offline/ref=BC5DE95A317017FD78D3CCBFE8CEA7A75B51C41AEEA37BAF8B01C392zAr8K" TargetMode="External"/><Relationship Id="rId3" Type="http://schemas.openxmlformats.org/officeDocument/2006/relationships/hyperlink" Target="consultantplus://offline/ref=BC5DE95A317017FD78D3CCBFE8CEA7A75B51C41AEEA37BAF8B01C392zAr8K" TargetMode="External"/><Relationship Id="rId4" Type="http://schemas.openxmlformats.org/officeDocument/2006/relationships/hyperlink" Target="consultantplus://offline/ref=BC5DE95A317017FD78D3C1BDF1CEA7A75D5ECC1DEBAA26A58358CF90AFz8r0K"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EFDD2-767E-41CA-A9E9-FC167D93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LibreOffice/5.1.2.2$Windows_x86 LibreOffice_project/d3bf12ecb743fc0d20e0be0c58ca359301eb705f</Application>
  <Pages>137</Pages>
  <Words>42017</Words>
  <Characters>305687</Characters>
  <CharactersWithSpaces>346750</CharactersWithSpaces>
  <Paragraphs>1166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2017-09-19T10:00:00Z</dcterms:created>
  <dc:creator>Кокунова Юлия Евгеньевна</dc:creator>
  <dc:description/>
  <dc:language>ru-RU</dc:language>
  <cp:lastModifiedBy/>
  <cp:lastPrinted>2017-05-30T15:02:00Z</cp:lastPrinted>
  <dcterms:modified xsi:type="dcterms:W3CDTF">2017-10-27T10:01:53Z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